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2FAC4" w14:textId="77777777" w:rsidR="00FB6C38" w:rsidRPr="00841F77" w:rsidRDefault="00FB6C38" w:rsidP="00FB6C38">
      <w:pPr>
        <w:pStyle w:val="Footer"/>
        <w:jc w:val="center"/>
        <w:rPr>
          <w:rFonts w:ascii="Times New Roman" w:hAnsi="Times New Roman"/>
          <w:b/>
        </w:rPr>
      </w:pPr>
      <w:r w:rsidRPr="00841F77">
        <w:rPr>
          <w:rFonts w:ascii="Times New Roman" w:hAnsi="Times New Roman"/>
          <w:b/>
        </w:rPr>
        <w:t>Ministru kabineta noteikumu projekta</w:t>
      </w:r>
    </w:p>
    <w:p w14:paraId="6AFBDD04" w14:textId="37FA3C34" w:rsidR="00FD5B56" w:rsidRPr="00FD5B56" w:rsidRDefault="005770C3" w:rsidP="00FD5B56">
      <w:pPr>
        <w:jc w:val="center"/>
        <w:rPr>
          <w:b/>
          <w:bCs/>
        </w:rPr>
      </w:pPr>
      <w:r w:rsidRPr="00841F77">
        <w:rPr>
          <w:rFonts w:eastAsia="Lucida Sans Unicode"/>
          <w:b/>
          <w:kern w:val="1"/>
        </w:rPr>
        <w:t>„</w:t>
      </w:r>
      <w:r w:rsidR="00FD5B56" w:rsidRPr="00FD5B56">
        <w:rPr>
          <w:b/>
          <w:bCs/>
        </w:rPr>
        <w:t>Grozījum</w:t>
      </w:r>
      <w:r w:rsidR="00F44C65">
        <w:rPr>
          <w:b/>
          <w:bCs/>
        </w:rPr>
        <w:t>i</w:t>
      </w:r>
      <w:r w:rsidR="00FD5B56" w:rsidRPr="00FD5B56">
        <w:rPr>
          <w:b/>
          <w:bCs/>
        </w:rPr>
        <w:t xml:space="preserve"> Ministru kabineta </w:t>
      </w:r>
      <w:proofErr w:type="gramStart"/>
      <w:r w:rsidR="00FD5B56" w:rsidRPr="00FD5B56">
        <w:rPr>
          <w:b/>
          <w:bCs/>
        </w:rPr>
        <w:t>2010.gada</w:t>
      </w:r>
      <w:proofErr w:type="gramEnd"/>
      <w:r w:rsidR="00FD5B56" w:rsidRPr="00FD5B56">
        <w:rPr>
          <w:b/>
          <w:bCs/>
        </w:rPr>
        <w:t xml:space="preserve"> 16.marta</w:t>
      </w:r>
    </w:p>
    <w:p w14:paraId="1AD91561" w14:textId="5B5ADB03" w:rsidR="00FB6C38" w:rsidRPr="00841F77" w:rsidRDefault="00FD5B56" w:rsidP="00FD5B56">
      <w:pPr>
        <w:jc w:val="center"/>
        <w:rPr>
          <w:rFonts w:eastAsia="Lucida Sans Unicode"/>
          <w:b/>
          <w:kern w:val="1"/>
        </w:rPr>
      </w:pPr>
      <w:r w:rsidRPr="00FD5B56">
        <w:rPr>
          <w:b/>
          <w:bCs/>
        </w:rPr>
        <w:t>noteikumos Nr.257</w:t>
      </w:r>
      <w:r w:rsidRPr="00FD5B56">
        <w:rPr>
          <w:b/>
          <w:bCs/>
          <w:color w:val="000000"/>
        </w:rPr>
        <w:t xml:space="preserve"> „</w:t>
      </w:r>
      <w:r w:rsidRPr="00FD5B56">
        <w:rPr>
          <w:b/>
          <w:bCs/>
          <w:color w:val="000000" w:themeColor="text1"/>
          <w:lang w:eastAsia="lv-LV"/>
        </w:rPr>
        <w:t>Noteikumi par kārtību, kādā Iekšlietu ministrijas sistēmas iestāžu un Ieslodzījuma vietu pārvaldes amatpersonas ar speciālajām dienesta pakāpēm tiek nosūtītas izglītības iegūšanai, kā arī mācību izdevumu segšanas un atmaksāšanas kārtību</w:t>
      </w:r>
      <w:r w:rsidRPr="00FD5B56">
        <w:rPr>
          <w:b/>
          <w:bCs/>
          <w:color w:val="000000"/>
        </w:rPr>
        <w:t>”</w:t>
      </w:r>
      <w:r w:rsidR="00A52A52">
        <w:rPr>
          <w:b/>
          <w:bCs/>
          <w:color w:val="000000"/>
        </w:rPr>
        <w:t>”</w:t>
      </w:r>
      <w:r w:rsidR="006B22C7" w:rsidRPr="00A52A52">
        <w:rPr>
          <w:rFonts w:eastAsia="Lucida Sans Unicode"/>
          <w:b/>
          <w:kern w:val="1"/>
        </w:rPr>
        <w:t xml:space="preserve"> </w:t>
      </w:r>
      <w:r w:rsidR="00FB6C38" w:rsidRPr="00841F77">
        <w:rPr>
          <w:rFonts w:eastAsia="Lucida Sans Unicode"/>
          <w:b/>
          <w:kern w:val="1"/>
        </w:rPr>
        <w:t>sākotnējās ietekmes novērtējuma ziņojums (anotācija)</w:t>
      </w:r>
    </w:p>
    <w:p w14:paraId="1515EF2D" w14:textId="77777777" w:rsidR="00FB6C38" w:rsidRPr="00841F77" w:rsidRDefault="00FB6C38" w:rsidP="00FB6C38">
      <w:pPr>
        <w:pStyle w:val="Footer"/>
        <w:jc w:val="center"/>
        <w:rPr>
          <w:rFonts w:ascii="Times New Roman" w:hAnsi="Times New Roman"/>
          <w:b/>
        </w:rPr>
      </w:pPr>
    </w:p>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
        <w:gridCol w:w="427"/>
        <w:gridCol w:w="2410"/>
        <w:gridCol w:w="328"/>
        <w:gridCol w:w="381"/>
        <w:gridCol w:w="5784"/>
        <w:gridCol w:w="26"/>
      </w:tblGrid>
      <w:tr w:rsidR="002041BA" w:rsidRPr="00841F77" w14:paraId="30DEFDC7" w14:textId="77777777" w:rsidTr="000773AE">
        <w:trPr>
          <w:gridBefore w:val="1"/>
          <w:wBefore w:w="13" w:type="dxa"/>
        </w:trPr>
        <w:tc>
          <w:tcPr>
            <w:tcW w:w="9356" w:type="dxa"/>
            <w:gridSpan w:val="6"/>
            <w:shd w:val="clear" w:color="auto" w:fill="auto"/>
          </w:tcPr>
          <w:p w14:paraId="1ED01C6B" w14:textId="3CF76CC0" w:rsidR="002041BA" w:rsidRPr="00841F77" w:rsidRDefault="002041BA" w:rsidP="00B764DF">
            <w:pPr>
              <w:pStyle w:val="naisf"/>
              <w:spacing w:before="0" w:after="0"/>
              <w:ind w:firstLine="0"/>
              <w:jc w:val="center"/>
              <w:rPr>
                <w:b/>
              </w:rPr>
            </w:pPr>
            <w:r w:rsidRPr="00841F77">
              <w:rPr>
                <w:b/>
                <w:bCs/>
              </w:rPr>
              <w:t>I. Tiesību akta projekta izstrādes nepieciešamība</w:t>
            </w:r>
          </w:p>
        </w:tc>
      </w:tr>
      <w:tr w:rsidR="002041BA" w:rsidRPr="00841F77" w14:paraId="2D1F49C3" w14:textId="77777777" w:rsidTr="000773AE">
        <w:trPr>
          <w:gridBefore w:val="1"/>
          <w:wBefore w:w="13" w:type="dxa"/>
        </w:trPr>
        <w:tc>
          <w:tcPr>
            <w:tcW w:w="427" w:type="dxa"/>
            <w:shd w:val="clear" w:color="auto" w:fill="auto"/>
          </w:tcPr>
          <w:p w14:paraId="75BA8B04" w14:textId="77777777" w:rsidR="002041BA" w:rsidRPr="00841F77" w:rsidRDefault="002041BA" w:rsidP="00304B3E">
            <w:pPr>
              <w:pStyle w:val="naisnod"/>
              <w:ind w:left="180" w:hanging="180"/>
              <w:jc w:val="left"/>
              <w:rPr>
                <w:b w:val="0"/>
              </w:rPr>
            </w:pPr>
            <w:r w:rsidRPr="00841F77">
              <w:rPr>
                <w:b w:val="0"/>
              </w:rPr>
              <w:t>1.</w:t>
            </w:r>
          </w:p>
        </w:tc>
        <w:tc>
          <w:tcPr>
            <w:tcW w:w="2410" w:type="dxa"/>
            <w:shd w:val="clear" w:color="auto" w:fill="auto"/>
          </w:tcPr>
          <w:p w14:paraId="1073FC7C" w14:textId="79429D7C" w:rsidR="002041BA" w:rsidRPr="00841F77" w:rsidRDefault="002041BA" w:rsidP="00304B3E">
            <w:pPr>
              <w:pStyle w:val="naisf"/>
              <w:ind w:left="170" w:firstLine="0"/>
              <w:jc w:val="left"/>
            </w:pPr>
            <w:r>
              <w:t>Pamatojums</w:t>
            </w:r>
            <w:r w:rsidRPr="00841F77">
              <w:t xml:space="preserve"> </w:t>
            </w:r>
          </w:p>
        </w:tc>
        <w:tc>
          <w:tcPr>
            <w:tcW w:w="6519" w:type="dxa"/>
            <w:gridSpan w:val="4"/>
            <w:shd w:val="clear" w:color="auto" w:fill="auto"/>
            <w:vAlign w:val="center"/>
          </w:tcPr>
          <w:p w14:paraId="4CA9E767" w14:textId="14AB4F3B" w:rsidR="002041BA" w:rsidRPr="00304B3E" w:rsidRDefault="00CD2C86" w:rsidP="00F44C65">
            <w:pPr>
              <w:pStyle w:val="naisnod"/>
              <w:ind w:firstLine="316"/>
              <w:jc w:val="both"/>
              <w:rPr>
                <w:b w:val="0"/>
              </w:rPr>
            </w:pPr>
            <w:r>
              <w:rPr>
                <w:b w:val="0"/>
              </w:rPr>
              <w:t>Iekšlietu ministrijas iniciatīva.</w:t>
            </w:r>
          </w:p>
        </w:tc>
      </w:tr>
      <w:tr w:rsidR="002041BA" w:rsidRPr="00841F77" w14:paraId="4C65F97B" w14:textId="77777777" w:rsidTr="000773AE">
        <w:trPr>
          <w:gridBefore w:val="1"/>
          <w:wBefore w:w="13" w:type="dxa"/>
        </w:trPr>
        <w:tc>
          <w:tcPr>
            <w:tcW w:w="427" w:type="dxa"/>
            <w:shd w:val="clear" w:color="auto" w:fill="auto"/>
          </w:tcPr>
          <w:p w14:paraId="245D9489" w14:textId="77777777" w:rsidR="002041BA" w:rsidRPr="00841F77" w:rsidRDefault="002041BA" w:rsidP="00304B3E">
            <w:pPr>
              <w:pStyle w:val="naisnod"/>
              <w:jc w:val="left"/>
              <w:rPr>
                <w:b w:val="0"/>
              </w:rPr>
            </w:pPr>
            <w:r w:rsidRPr="00841F77">
              <w:rPr>
                <w:b w:val="0"/>
              </w:rPr>
              <w:t>2.</w:t>
            </w:r>
          </w:p>
        </w:tc>
        <w:tc>
          <w:tcPr>
            <w:tcW w:w="2410" w:type="dxa"/>
            <w:shd w:val="clear" w:color="auto" w:fill="auto"/>
          </w:tcPr>
          <w:p w14:paraId="35180551" w14:textId="539AFF8A" w:rsidR="00D7070A" w:rsidRDefault="00304B3E" w:rsidP="00304B3E">
            <w:pPr>
              <w:pStyle w:val="naisf"/>
              <w:ind w:left="170" w:firstLine="0"/>
              <w:jc w:val="left"/>
            </w:pPr>
            <w:r w:rsidRPr="00754739">
              <w:t>Pašreizējā situācija un problēmas</w:t>
            </w:r>
            <w:r>
              <w:t>, kuru risināšanai tiesību akta projekts izstrādāts, tiesiskā regulējuma mērķis un būtība</w:t>
            </w:r>
            <w:r w:rsidR="002041BA" w:rsidRPr="00841F77">
              <w:t xml:space="preserve"> </w:t>
            </w:r>
          </w:p>
          <w:p w14:paraId="0E4DFB53" w14:textId="77777777" w:rsidR="00D7070A" w:rsidRPr="00D7070A" w:rsidRDefault="00D7070A" w:rsidP="00D7070A"/>
          <w:p w14:paraId="423B0E10" w14:textId="77777777" w:rsidR="00D7070A" w:rsidRPr="00D7070A" w:rsidRDefault="00D7070A" w:rsidP="00D7070A"/>
          <w:p w14:paraId="4058C6D9" w14:textId="77777777" w:rsidR="00D7070A" w:rsidRPr="00D7070A" w:rsidRDefault="00D7070A" w:rsidP="00D7070A"/>
          <w:p w14:paraId="7E550CBA" w14:textId="77777777" w:rsidR="00D7070A" w:rsidRPr="00D7070A" w:rsidRDefault="00D7070A" w:rsidP="00D7070A"/>
          <w:p w14:paraId="7C4A3CE0" w14:textId="28D13E70" w:rsidR="002041BA" w:rsidRPr="00D7070A" w:rsidRDefault="002041BA" w:rsidP="00D7070A"/>
        </w:tc>
        <w:tc>
          <w:tcPr>
            <w:tcW w:w="6519" w:type="dxa"/>
            <w:gridSpan w:val="4"/>
            <w:shd w:val="clear" w:color="auto" w:fill="auto"/>
            <w:vAlign w:val="center"/>
          </w:tcPr>
          <w:p w14:paraId="75FE2B5A" w14:textId="689E71F4" w:rsidR="002041BA" w:rsidRPr="009D3FDA" w:rsidRDefault="00920600" w:rsidP="002041BA">
            <w:pPr>
              <w:pStyle w:val="tv2131"/>
              <w:spacing w:line="240" w:lineRule="auto"/>
              <w:ind w:firstLine="301"/>
              <w:jc w:val="both"/>
              <w:rPr>
                <w:color w:val="000000" w:themeColor="text1"/>
                <w:sz w:val="24"/>
                <w:szCs w:val="24"/>
              </w:rPr>
            </w:pPr>
            <w:r w:rsidRPr="009D3FDA">
              <w:rPr>
                <w:bCs/>
                <w:color w:val="000000" w:themeColor="text1"/>
                <w:sz w:val="24"/>
                <w:szCs w:val="24"/>
              </w:rPr>
              <w:t xml:space="preserve">Saskaņā ar </w:t>
            </w:r>
            <w:r w:rsidR="002041BA" w:rsidRPr="009D3FDA">
              <w:rPr>
                <w:bCs/>
                <w:color w:val="000000" w:themeColor="text1"/>
                <w:sz w:val="24"/>
                <w:szCs w:val="24"/>
              </w:rPr>
              <w:t xml:space="preserve">Ministru kabineta </w:t>
            </w:r>
            <w:proofErr w:type="gramStart"/>
            <w:r w:rsidR="002041BA" w:rsidRPr="009D3FDA">
              <w:rPr>
                <w:rStyle w:val="Strong"/>
                <w:b w:val="0"/>
                <w:color w:val="000000" w:themeColor="text1"/>
                <w:sz w:val="24"/>
                <w:szCs w:val="24"/>
              </w:rPr>
              <w:t>2010.gada</w:t>
            </w:r>
            <w:proofErr w:type="gramEnd"/>
            <w:r w:rsidR="002041BA" w:rsidRPr="009D3FDA">
              <w:rPr>
                <w:rStyle w:val="Strong"/>
                <w:b w:val="0"/>
                <w:color w:val="000000" w:themeColor="text1"/>
                <w:sz w:val="24"/>
                <w:szCs w:val="24"/>
              </w:rPr>
              <w:t xml:space="preserve"> 16.marta noteikumu Nr.257 „</w:t>
            </w:r>
            <w:r w:rsidR="002041BA" w:rsidRPr="009D3FDA">
              <w:rPr>
                <w:bCs/>
                <w:color w:val="000000" w:themeColor="text1"/>
                <w:sz w:val="24"/>
                <w:szCs w:val="24"/>
              </w:rPr>
              <w:t>Noteikumi par kārtību, kādā Iekšlietu ministrijas sistēmas iestāžu un Ieslodzījuma vietu pārvaldes amatpersonas ar speciālajām dienesta pakāpēm tiek nosūtītas izglītības iegūšanai, kā arī mācību izdevumu segšanas un atmaksāšanas kārtību</w:t>
            </w:r>
            <w:r w:rsidR="002041BA" w:rsidRPr="009D3FDA">
              <w:rPr>
                <w:rStyle w:val="Strong"/>
                <w:b w:val="0"/>
                <w:color w:val="000000" w:themeColor="text1"/>
                <w:sz w:val="24"/>
                <w:szCs w:val="24"/>
              </w:rPr>
              <w:t>”</w:t>
            </w:r>
            <w:r w:rsidR="002041BA" w:rsidRPr="009D3FDA">
              <w:rPr>
                <w:bCs/>
                <w:color w:val="000000" w:themeColor="text1"/>
                <w:sz w:val="24"/>
                <w:szCs w:val="24"/>
              </w:rPr>
              <w:t xml:space="preserve"> (turpmāk – noteikumi Nr.257) 1.3.apakšpunkt</w:t>
            </w:r>
            <w:r w:rsidRPr="009D3FDA">
              <w:rPr>
                <w:bCs/>
                <w:color w:val="000000" w:themeColor="text1"/>
                <w:sz w:val="24"/>
                <w:szCs w:val="24"/>
              </w:rPr>
              <w:t>u noteikumi Nr.257</w:t>
            </w:r>
            <w:r w:rsidR="002041BA" w:rsidRPr="009D3FDA">
              <w:rPr>
                <w:bCs/>
                <w:color w:val="000000" w:themeColor="text1"/>
                <w:sz w:val="24"/>
                <w:szCs w:val="24"/>
              </w:rPr>
              <w:t xml:space="preserve"> nosaka „</w:t>
            </w:r>
            <w:r w:rsidR="002041BA" w:rsidRPr="009D3FDA">
              <w:rPr>
                <w:color w:val="000000" w:themeColor="text1"/>
                <w:sz w:val="24"/>
                <w:szCs w:val="24"/>
              </w:rPr>
              <w:t>izdevumus, kas uzskatāmi par mācību izdevumiem, šo izdevumu segšanas un atmaksāšanas kārtību, kā arī gadījumus, kad amatpersona neatmaksā mācību izdevumus”.</w:t>
            </w:r>
          </w:p>
          <w:p w14:paraId="641B82E7" w14:textId="5C237574" w:rsidR="001B014E" w:rsidRPr="009D3FDA" w:rsidRDefault="00920600" w:rsidP="002041BA">
            <w:pPr>
              <w:pStyle w:val="tv2131"/>
              <w:spacing w:line="240" w:lineRule="auto"/>
              <w:ind w:firstLine="301"/>
              <w:jc w:val="both"/>
              <w:rPr>
                <w:color w:val="000000" w:themeColor="text1"/>
                <w:sz w:val="24"/>
                <w:szCs w:val="24"/>
              </w:rPr>
            </w:pPr>
            <w:r w:rsidRPr="009D3FDA">
              <w:rPr>
                <w:bCs/>
                <w:color w:val="000000" w:themeColor="text1"/>
                <w:sz w:val="24"/>
                <w:szCs w:val="24"/>
              </w:rPr>
              <w:t>N</w:t>
            </w:r>
            <w:r w:rsidR="002041BA" w:rsidRPr="009D3FDA">
              <w:rPr>
                <w:bCs/>
                <w:color w:val="000000" w:themeColor="text1"/>
                <w:sz w:val="24"/>
                <w:szCs w:val="24"/>
              </w:rPr>
              <w:t>oteikum</w:t>
            </w:r>
            <w:r w:rsidR="007A4C52" w:rsidRPr="009D3FDA">
              <w:rPr>
                <w:bCs/>
                <w:color w:val="000000" w:themeColor="text1"/>
                <w:sz w:val="24"/>
                <w:szCs w:val="24"/>
              </w:rPr>
              <w:t>u</w:t>
            </w:r>
            <w:r w:rsidR="002041BA" w:rsidRPr="009D3FDA">
              <w:rPr>
                <w:bCs/>
                <w:color w:val="000000" w:themeColor="text1"/>
                <w:sz w:val="24"/>
                <w:szCs w:val="24"/>
              </w:rPr>
              <w:t xml:space="preserve"> Nr.257</w:t>
            </w:r>
            <w:r w:rsidR="007A4C52" w:rsidRPr="009D3FDA">
              <w:rPr>
                <w:bCs/>
                <w:color w:val="000000" w:themeColor="text1"/>
                <w:sz w:val="24"/>
                <w:szCs w:val="24"/>
              </w:rPr>
              <w:t xml:space="preserve"> 19.punkts</w:t>
            </w:r>
            <w:r w:rsidR="001B014E" w:rsidRPr="009D3FDA">
              <w:rPr>
                <w:bCs/>
                <w:color w:val="000000" w:themeColor="text1"/>
                <w:sz w:val="24"/>
                <w:szCs w:val="24"/>
              </w:rPr>
              <w:t xml:space="preserve"> nosaka</w:t>
            </w:r>
            <w:r w:rsidR="007A4C52" w:rsidRPr="009D3FDA">
              <w:rPr>
                <w:bCs/>
                <w:color w:val="000000" w:themeColor="text1"/>
                <w:sz w:val="24"/>
                <w:szCs w:val="24"/>
              </w:rPr>
              <w:t xml:space="preserve"> to</w:t>
            </w:r>
            <w:r w:rsidR="001B014E" w:rsidRPr="009D3FDA">
              <w:rPr>
                <w:bCs/>
                <w:color w:val="000000" w:themeColor="text1"/>
                <w:sz w:val="24"/>
                <w:szCs w:val="24"/>
              </w:rPr>
              <w:t xml:space="preserve">, kādos gadījumos ir jāatmaksā </w:t>
            </w:r>
            <w:r w:rsidR="007A4C52" w:rsidRPr="009D3FDA">
              <w:rPr>
                <w:bCs/>
                <w:color w:val="000000" w:themeColor="text1"/>
                <w:sz w:val="24"/>
                <w:szCs w:val="24"/>
              </w:rPr>
              <w:t>faktiski segtie mācību izdevumi</w:t>
            </w:r>
            <w:r w:rsidR="002041BA" w:rsidRPr="009D3FDA">
              <w:rPr>
                <w:bCs/>
                <w:color w:val="000000" w:themeColor="text1"/>
                <w:sz w:val="24"/>
                <w:szCs w:val="24"/>
              </w:rPr>
              <w:t>,</w:t>
            </w:r>
            <w:r w:rsidRPr="009D3FDA">
              <w:rPr>
                <w:bCs/>
                <w:color w:val="000000" w:themeColor="text1"/>
                <w:sz w:val="24"/>
                <w:szCs w:val="24"/>
              </w:rPr>
              <w:t xml:space="preserve"> tas ir,</w:t>
            </w:r>
            <w:r w:rsidR="002041BA" w:rsidRPr="009D3FDA">
              <w:rPr>
                <w:bCs/>
                <w:color w:val="000000" w:themeColor="text1"/>
                <w:sz w:val="24"/>
                <w:szCs w:val="24"/>
              </w:rPr>
              <w:t xml:space="preserve"> ja amatpersonu izslēdz no izglītības iestādes (izņemot </w:t>
            </w:r>
            <w:r w:rsidR="002041BA" w:rsidRPr="009D3FDA">
              <w:rPr>
                <w:color w:val="000000" w:themeColor="text1"/>
                <w:sz w:val="24"/>
                <w:szCs w:val="24"/>
              </w:rPr>
              <w:t>šo noteikumu 24.1. un 24.1.</w:t>
            </w:r>
            <w:r w:rsidR="002041BA" w:rsidRPr="009D3FDA">
              <w:rPr>
                <w:color w:val="000000" w:themeColor="text1"/>
                <w:sz w:val="24"/>
                <w:szCs w:val="24"/>
                <w:vertAlign w:val="superscript"/>
              </w:rPr>
              <w:t>1</w:t>
            </w:r>
            <w:r w:rsidR="002041BA" w:rsidRPr="009D3FDA">
              <w:rPr>
                <w:color w:val="000000" w:themeColor="text1"/>
                <w:sz w:val="24"/>
                <w:szCs w:val="24"/>
              </w:rPr>
              <w:t xml:space="preserve"> apakšpunktā minētos gadījumus) nesekmības dēļ, disciplīnas pārkāpumu dēļ vai pēc pašas vēlēšanās.</w:t>
            </w:r>
          </w:p>
          <w:p w14:paraId="265A1ECA" w14:textId="77777777" w:rsidR="00DA2D86" w:rsidRPr="009D3FDA" w:rsidRDefault="00DA2D86" w:rsidP="00DA2D86">
            <w:pPr>
              <w:pStyle w:val="tv2131"/>
              <w:spacing w:line="240" w:lineRule="auto"/>
              <w:ind w:firstLine="301"/>
              <w:jc w:val="both"/>
              <w:rPr>
                <w:color w:val="000000" w:themeColor="text1"/>
                <w:sz w:val="24"/>
                <w:szCs w:val="24"/>
              </w:rPr>
            </w:pPr>
            <w:r w:rsidRPr="009D3FDA">
              <w:rPr>
                <w:color w:val="000000" w:themeColor="text1"/>
                <w:sz w:val="24"/>
                <w:szCs w:val="24"/>
              </w:rPr>
              <w:t xml:space="preserve">Augstskolu likuma </w:t>
            </w:r>
            <w:proofErr w:type="gramStart"/>
            <w:r w:rsidRPr="009D3FDA">
              <w:rPr>
                <w:color w:val="000000" w:themeColor="text1"/>
                <w:sz w:val="24"/>
                <w:szCs w:val="24"/>
              </w:rPr>
              <w:t>49.panta</w:t>
            </w:r>
            <w:proofErr w:type="gramEnd"/>
            <w:r w:rsidRPr="009D3FDA">
              <w:rPr>
                <w:color w:val="000000" w:themeColor="text1"/>
                <w:sz w:val="24"/>
                <w:szCs w:val="24"/>
              </w:rPr>
              <w:t xml:space="preserve"> pirmā daļa nosaka, ka: „1. Personu var izslēgt no studējošo saraksta, ja: 1) tā pati to vēlas; 2) noskaidrojas, ka tās uzņemšanu ir ietekmējusi maldināšana, kukuļdošana vai cita rīcība, ar kuru pārkāpts pretendentu vienlīdzības princips; 3) tā augstskolas noteiktajos termiņos nav nokārtojusi nepieciešamos pārbaudījumus vai nav veikusi citus studiju uzdevumus; 4) tā ir pārkāpusi augstskolas</w:t>
            </w:r>
            <w:r>
              <w:rPr>
                <w:color w:val="000000" w:themeColor="text1"/>
                <w:sz w:val="24"/>
                <w:szCs w:val="24"/>
              </w:rPr>
              <w:t xml:space="preserve"> iekšējās kārtības noteikumus.”.</w:t>
            </w:r>
            <w:r w:rsidRPr="009D3FDA">
              <w:rPr>
                <w:color w:val="000000" w:themeColor="text1"/>
                <w:sz w:val="24"/>
                <w:szCs w:val="24"/>
              </w:rPr>
              <w:t xml:space="preserve"> </w:t>
            </w:r>
          </w:p>
          <w:p w14:paraId="6A5C02F9" w14:textId="77777777" w:rsidR="00DA2D86" w:rsidRDefault="00DA2D86" w:rsidP="00DA2D86">
            <w:pPr>
              <w:pStyle w:val="tv2131"/>
              <w:spacing w:line="240" w:lineRule="auto"/>
              <w:ind w:firstLine="301"/>
              <w:jc w:val="both"/>
              <w:rPr>
                <w:color w:val="000000"/>
              </w:rPr>
            </w:pPr>
            <w:r w:rsidRPr="009D3FDA">
              <w:rPr>
                <w:color w:val="000000" w:themeColor="text1"/>
                <w:sz w:val="24"/>
                <w:szCs w:val="24"/>
              </w:rPr>
              <w:t>No iepriekš minētā izriet, ka Augstskolu likumā ir minēti četri gadījumi, kad personu var izslēgt no studējošo skaita, bet noteikumu Nr.257 19.punktā – trīs gadījumi.</w:t>
            </w:r>
          </w:p>
          <w:p w14:paraId="66EAF142" w14:textId="77777777" w:rsidR="00DA2D86" w:rsidRPr="009D3FDA" w:rsidRDefault="00DA2D86" w:rsidP="00DA2D86">
            <w:pPr>
              <w:pStyle w:val="tv2131"/>
              <w:spacing w:line="240" w:lineRule="auto"/>
              <w:ind w:firstLine="301"/>
              <w:jc w:val="both"/>
              <w:rPr>
                <w:color w:val="000000" w:themeColor="text1"/>
                <w:sz w:val="24"/>
                <w:szCs w:val="24"/>
              </w:rPr>
            </w:pPr>
            <w:r w:rsidRPr="001C2C02">
              <w:rPr>
                <w:color w:val="000000"/>
                <w:sz w:val="24"/>
                <w:szCs w:val="24"/>
              </w:rPr>
              <w:t>N</w:t>
            </w:r>
            <w:r w:rsidRPr="001C2C02">
              <w:rPr>
                <w:color w:val="000000" w:themeColor="text1"/>
                <w:sz w:val="24"/>
                <w:szCs w:val="24"/>
              </w:rPr>
              <w:t xml:space="preserve">oteikumu Nr.257 normas neparedz, ka, </w:t>
            </w:r>
            <w:r w:rsidRPr="001C2C02">
              <w:rPr>
                <w:color w:val="000000"/>
                <w:sz w:val="24"/>
                <w:szCs w:val="24"/>
              </w:rPr>
              <w:t xml:space="preserve">ja </w:t>
            </w:r>
            <w:r w:rsidRPr="001C2C02">
              <w:rPr>
                <w:color w:val="000000" w:themeColor="text1"/>
                <w:sz w:val="24"/>
                <w:szCs w:val="24"/>
              </w:rPr>
              <w:t>noskaidrojas, ka personas uzņemšanu ir ietekmējusi maldināšana, kukuļdošana vai cita rīcība, ar kuru pārkāpts pretendentu vienlīdzības princips, tad no šīs personas jāpiedzen faktiski segtie mācību izdevumi.</w:t>
            </w:r>
          </w:p>
          <w:p w14:paraId="5E3652E8" w14:textId="77777777" w:rsidR="00DA2D86" w:rsidRDefault="00DA2D86" w:rsidP="00DA2D86">
            <w:pPr>
              <w:pStyle w:val="tv2131"/>
              <w:spacing w:line="240" w:lineRule="auto"/>
              <w:ind w:firstLine="301"/>
              <w:jc w:val="both"/>
              <w:rPr>
                <w:color w:val="000000" w:themeColor="text1"/>
                <w:sz w:val="24"/>
                <w:szCs w:val="24"/>
              </w:rPr>
            </w:pPr>
            <w:r>
              <w:rPr>
                <w:color w:val="000000" w:themeColor="text1"/>
                <w:sz w:val="24"/>
                <w:szCs w:val="24"/>
              </w:rPr>
              <w:t>Šobrīd pēc pašas vēlēšanās izslēgšanu no izglītības iestādes uzskata ne tikai, ja persona pati raksta iesniegumu ar attiecīgo lūgumu, bet arī:</w:t>
            </w:r>
          </w:p>
          <w:p w14:paraId="651777A1" w14:textId="77777777" w:rsidR="00DA2D86" w:rsidRDefault="00DA2D86" w:rsidP="002F111A">
            <w:pPr>
              <w:pStyle w:val="tv2131"/>
              <w:numPr>
                <w:ilvl w:val="0"/>
                <w:numId w:val="23"/>
              </w:numPr>
              <w:tabs>
                <w:tab w:val="left" w:pos="550"/>
              </w:tabs>
              <w:spacing w:line="240" w:lineRule="auto"/>
              <w:jc w:val="both"/>
              <w:rPr>
                <w:color w:val="000000" w:themeColor="text1"/>
                <w:sz w:val="24"/>
                <w:szCs w:val="24"/>
              </w:rPr>
            </w:pPr>
            <w:r>
              <w:rPr>
                <w:color w:val="000000" w:themeColor="text1"/>
                <w:sz w:val="24"/>
                <w:szCs w:val="24"/>
              </w:rPr>
              <w:t>ja neatjaunojas studijām un nav rakstiski lūgusi, ka vēlas pagarināt studiju pārtraukumu vai, ka nevēlas turpināt studijas;</w:t>
            </w:r>
          </w:p>
          <w:p w14:paraId="5055442A" w14:textId="77777777" w:rsidR="00DA2D86" w:rsidRDefault="00DA2D86" w:rsidP="002F111A">
            <w:pPr>
              <w:pStyle w:val="tv2131"/>
              <w:numPr>
                <w:ilvl w:val="0"/>
                <w:numId w:val="23"/>
              </w:numPr>
              <w:tabs>
                <w:tab w:val="left" w:pos="550"/>
              </w:tabs>
              <w:spacing w:line="240" w:lineRule="auto"/>
              <w:jc w:val="both"/>
              <w:rPr>
                <w:color w:val="000000" w:themeColor="text1"/>
                <w:sz w:val="24"/>
                <w:szCs w:val="24"/>
              </w:rPr>
            </w:pPr>
            <w:r>
              <w:rPr>
                <w:color w:val="000000" w:themeColor="text1"/>
                <w:sz w:val="24"/>
                <w:szCs w:val="24"/>
              </w:rPr>
              <w:t xml:space="preserve">nav </w:t>
            </w:r>
            <w:proofErr w:type="gramStart"/>
            <w:r>
              <w:rPr>
                <w:color w:val="000000" w:themeColor="text1"/>
                <w:sz w:val="24"/>
                <w:szCs w:val="24"/>
              </w:rPr>
              <w:t>rakstiski informējusi izglītības</w:t>
            </w:r>
            <w:proofErr w:type="gramEnd"/>
            <w:r>
              <w:rPr>
                <w:color w:val="000000" w:themeColor="text1"/>
                <w:sz w:val="24"/>
                <w:szCs w:val="24"/>
              </w:rPr>
              <w:t xml:space="preserve"> iestādi, ka nevēlas turpināt studijas, ja to atvaļina no dienesta pēc pašas vēlēšanās;</w:t>
            </w:r>
          </w:p>
          <w:p w14:paraId="7224CF94" w14:textId="77777777" w:rsidR="00DA2D86" w:rsidRPr="009D3FDA" w:rsidRDefault="00DA2D86" w:rsidP="002F111A">
            <w:pPr>
              <w:pStyle w:val="tv2131"/>
              <w:numPr>
                <w:ilvl w:val="0"/>
                <w:numId w:val="23"/>
              </w:numPr>
              <w:tabs>
                <w:tab w:val="left" w:pos="550"/>
              </w:tabs>
              <w:spacing w:line="240" w:lineRule="auto"/>
              <w:jc w:val="both"/>
              <w:rPr>
                <w:color w:val="000000" w:themeColor="text1"/>
                <w:sz w:val="24"/>
                <w:szCs w:val="24"/>
              </w:rPr>
            </w:pPr>
            <w:r>
              <w:rPr>
                <w:color w:val="000000" w:themeColor="text1"/>
                <w:sz w:val="24"/>
                <w:szCs w:val="24"/>
              </w:rPr>
              <w:lastRenderedPageBreak/>
              <w:t xml:space="preserve">nav </w:t>
            </w:r>
            <w:proofErr w:type="gramStart"/>
            <w:r>
              <w:rPr>
                <w:color w:val="000000" w:themeColor="text1"/>
                <w:sz w:val="24"/>
                <w:szCs w:val="24"/>
              </w:rPr>
              <w:t>rakstiski izteikusi lūgumu</w:t>
            </w:r>
            <w:proofErr w:type="gramEnd"/>
            <w:r>
              <w:rPr>
                <w:color w:val="000000" w:themeColor="text1"/>
                <w:sz w:val="24"/>
                <w:szCs w:val="24"/>
              </w:rPr>
              <w:t xml:space="preserve"> mainīt studiju veidu un formu tad, ja turpmākam dienestam tiek pārcelta no izglītības iestādes uz Iekšlietu ministrijas sistēmas iestādi. </w:t>
            </w:r>
          </w:p>
          <w:p w14:paraId="7BED54CC" w14:textId="04D70BAA" w:rsidR="00FF1C8C" w:rsidRDefault="000D6584" w:rsidP="00FF1C8C">
            <w:pPr>
              <w:pStyle w:val="tv2131"/>
              <w:spacing w:line="240" w:lineRule="auto"/>
              <w:ind w:firstLine="301"/>
              <w:jc w:val="both"/>
              <w:rPr>
                <w:color w:val="000000" w:themeColor="text1"/>
                <w:sz w:val="24"/>
                <w:szCs w:val="24"/>
              </w:rPr>
            </w:pPr>
            <w:r w:rsidRPr="009D3FDA">
              <w:rPr>
                <w:color w:val="000000" w:themeColor="text1"/>
                <w:sz w:val="24"/>
                <w:szCs w:val="24"/>
              </w:rPr>
              <w:t>Noteikumu Nr.257 20. un 21.punkts nosaka to, cik</w:t>
            </w:r>
            <w:r w:rsidR="00AD3A86">
              <w:rPr>
                <w:color w:val="000000" w:themeColor="text1"/>
                <w:sz w:val="24"/>
                <w:szCs w:val="24"/>
              </w:rPr>
              <w:t xml:space="preserve"> ilgi</w:t>
            </w:r>
            <w:proofErr w:type="gramStart"/>
            <w:r w:rsidR="00AD3A86">
              <w:rPr>
                <w:color w:val="000000" w:themeColor="text1"/>
                <w:sz w:val="24"/>
                <w:szCs w:val="24"/>
              </w:rPr>
              <w:t xml:space="preserve"> </w:t>
            </w:r>
            <w:r w:rsidRPr="009D3FDA">
              <w:rPr>
                <w:color w:val="000000" w:themeColor="text1"/>
                <w:sz w:val="24"/>
                <w:szCs w:val="24"/>
              </w:rPr>
              <w:t xml:space="preserve"> </w:t>
            </w:r>
            <w:proofErr w:type="gramEnd"/>
            <w:r w:rsidRPr="009D3FDA">
              <w:rPr>
                <w:color w:val="000000" w:themeColor="text1"/>
                <w:sz w:val="24"/>
                <w:szCs w:val="24"/>
              </w:rPr>
              <w:t>amatpersonai ir jānodien Iekšlietu ministrijas sistēmas iestādē vai Ieslodzījuma vietu pārvaldē pēc attiecīgi izglītības iegūšanas vai programmas apguves, kā arī nosaka izņēmumus, kad nav jānodien šajās normās noteiktais laiks.</w:t>
            </w:r>
            <w:r w:rsidR="00FF1C8C">
              <w:rPr>
                <w:color w:val="000000" w:themeColor="text1"/>
                <w:sz w:val="24"/>
                <w:szCs w:val="24"/>
              </w:rPr>
              <w:t xml:space="preserve"> </w:t>
            </w:r>
          </w:p>
          <w:p w14:paraId="24055728" w14:textId="26198689" w:rsidR="00FF1C8C" w:rsidRPr="009D3FDA" w:rsidRDefault="00FF1C8C" w:rsidP="00FF1C8C">
            <w:pPr>
              <w:pStyle w:val="tv2131"/>
              <w:spacing w:line="240" w:lineRule="auto"/>
              <w:ind w:firstLine="301"/>
              <w:jc w:val="both"/>
              <w:rPr>
                <w:color w:val="000000" w:themeColor="text1"/>
                <w:sz w:val="24"/>
                <w:szCs w:val="24"/>
              </w:rPr>
            </w:pPr>
            <w:r>
              <w:rPr>
                <w:color w:val="000000" w:themeColor="text1"/>
                <w:sz w:val="24"/>
                <w:szCs w:val="24"/>
              </w:rPr>
              <w:t>Savukārt n</w:t>
            </w:r>
            <w:r w:rsidRPr="009D3FDA">
              <w:rPr>
                <w:color w:val="000000" w:themeColor="text1"/>
                <w:sz w:val="24"/>
                <w:szCs w:val="24"/>
              </w:rPr>
              <w:t xml:space="preserve">oteikumu Nr.257 24.punkts nosaka tos gadījumus, kad nav jāatmaksā ne faktiski segtie mācību izdevumi, ne izdevumi par proporcionāli nenodienēto laiku. </w:t>
            </w:r>
          </w:p>
          <w:p w14:paraId="265E242C" w14:textId="5E33C22B" w:rsidR="00DA2D86" w:rsidRPr="009623FE" w:rsidRDefault="00DA2D86" w:rsidP="00DA2D86">
            <w:pPr>
              <w:pStyle w:val="naisnod"/>
              <w:spacing w:before="0" w:after="0"/>
              <w:ind w:firstLine="318"/>
              <w:jc w:val="both"/>
              <w:rPr>
                <w:b w:val="0"/>
              </w:rPr>
            </w:pPr>
            <w:r w:rsidRPr="003D3548">
              <w:rPr>
                <w:b w:val="0"/>
                <w:color w:val="000000"/>
              </w:rPr>
              <w:t xml:space="preserve">Noteikumu projekts paredz izteikt noteikumu Nr.257 19.punktu jaunā redakcijā. </w:t>
            </w:r>
            <w:r w:rsidRPr="003D3548">
              <w:rPr>
                <w:b w:val="0"/>
                <w:bCs w:val="0"/>
                <w:color w:val="000000"/>
              </w:rPr>
              <w:t>Izdarot</w:t>
            </w:r>
            <w:r w:rsidRPr="000E5C7F">
              <w:rPr>
                <w:b w:val="0"/>
                <w:bCs w:val="0"/>
                <w:color w:val="000000"/>
              </w:rPr>
              <w:t xml:space="preserve"> </w:t>
            </w:r>
            <w:r w:rsidRPr="00B4712D">
              <w:rPr>
                <w:b w:val="0"/>
                <w:bCs w:val="0"/>
                <w:color w:val="000000"/>
              </w:rPr>
              <w:t>šādu grozījumu</w:t>
            </w:r>
            <w:r w:rsidRPr="000E5C7F">
              <w:rPr>
                <w:b w:val="0"/>
                <w:bCs w:val="0"/>
                <w:color w:val="000000"/>
              </w:rPr>
              <w:t xml:space="preserve">, netiks atrunāti </w:t>
            </w:r>
            <w:r w:rsidR="00CB1838" w:rsidRPr="000E5C7F">
              <w:rPr>
                <w:b w:val="0"/>
                <w:bCs w:val="0"/>
                <w:color w:val="000000"/>
              </w:rPr>
              <w:t xml:space="preserve">konkrēti </w:t>
            </w:r>
            <w:r w:rsidRPr="000E5C7F">
              <w:rPr>
                <w:b w:val="0"/>
                <w:bCs w:val="0"/>
                <w:color w:val="000000"/>
              </w:rPr>
              <w:t>gadījumi, kad ir jāatmaksā faktiski segtie mācību izdevumi, bet tikai tie gadījumi, kad faktiski segtie mācību izdevumi nav jāatmaksā.</w:t>
            </w:r>
            <w:r w:rsidRPr="00BF236B">
              <w:rPr>
                <w:b w:val="0"/>
                <w:color w:val="000000" w:themeColor="text1"/>
              </w:rPr>
              <w:t xml:space="preserve"> Līdz ar to, būs skaidri saprotams, ka pārējos gadījum</w:t>
            </w:r>
            <w:r>
              <w:rPr>
                <w:b w:val="0"/>
                <w:color w:val="000000" w:themeColor="text1"/>
              </w:rPr>
              <w:t>os mācību izdevumi ir jāatmaksā.</w:t>
            </w:r>
            <w:r w:rsidR="007B0BCF">
              <w:rPr>
                <w:b w:val="0"/>
                <w:color w:val="000000" w:themeColor="text1"/>
              </w:rPr>
              <w:t xml:space="preserve"> Tādējādi tiks samazināta </w:t>
            </w:r>
            <w:r w:rsidR="00F05A1D">
              <w:rPr>
                <w:b w:val="0"/>
                <w:color w:val="000000" w:themeColor="text1"/>
              </w:rPr>
              <w:t>19.punkta normas</w:t>
            </w:r>
            <w:r w:rsidR="007B0BCF">
              <w:rPr>
                <w:b w:val="0"/>
                <w:color w:val="000000" w:themeColor="text1"/>
              </w:rPr>
              <w:t xml:space="preserve"> kļūdainas interpretācijas iesp</w:t>
            </w:r>
            <w:r w:rsidR="00F05A1D">
              <w:rPr>
                <w:b w:val="0"/>
                <w:color w:val="000000" w:themeColor="text1"/>
              </w:rPr>
              <w:t>ēja</w:t>
            </w:r>
            <w:r w:rsidR="007B0BCF">
              <w:rPr>
                <w:b w:val="0"/>
                <w:color w:val="000000" w:themeColor="text1"/>
              </w:rPr>
              <w:t>.</w:t>
            </w:r>
          </w:p>
          <w:p w14:paraId="0C8032DA" w14:textId="525165E4" w:rsidR="00FF1C8C" w:rsidRDefault="004C50D0" w:rsidP="00514CB8">
            <w:pPr>
              <w:pStyle w:val="naisnod"/>
              <w:spacing w:before="0" w:after="0"/>
              <w:ind w:firstLine="318"/>
              <w:jc w:val="both"/>
              <w:rPr>
                <w:b w:val="0"/>
                <w:color w:val="000000"/>
              </w:rPr>
            </w:pPr>
            <w:r>
              <w:rPr>
                <w:b w:val="0"/>
                <w:color w:val="000000"/>
              </w:rPr>
              <w:t>N</w:t>
            </w:r>
            <w:r w:rsidR="00B4712D">
              <w:rPr>
                <w:b w:val="0"/>
                <w:color w:val="000000"/>
              </w:rPr>
              <w:t xml:space="preserve">oteikumu Nr.257 </w:t>
            </w:r>
            <w:r>
              <w:rPr>
                <w:b w:val="0"/>
                <w:color w:val="000000"/>
              </w:rPr>
              <w:t>23.punkts</w:t>
            </w:r>
            <w:r w:rsidR="0024627B">
              <w:rPr>
                <w:b w:val="0"/>
                <w:color w:val="000000"/>
              </w:rPr>
              <w:t xml:space="preserve"> ir nepilnīgs, jo</w:t>
            </w:r>
            <w:r>
              <w:rPr>
                <w:b w:val="0"/>
                <w:color w:val="000000"/>
              </w:rPr>
              <w:t xml:space="preserve"> neparedz tiesas ceļā piedzīt neatmaksātos mācību izdevumus, kas nav atmaksāti </w:t>
            </w:r>
            <w:r w:rsidR="00FF1C8C">
              <w:rPr>
                <w:b w:val="0"/>
                <w:color w:val="000000"/>
              </w:rPr>
              <w:t>noteikumu Nr.257 19.</w:t>
            </w:r>
            <w:r w:rsidR="00FF1C8C" w:rsidRPr="004C50D0">
              <w:rPr>
                <w:b w:val="0"/>
                <w:color w:val="000000"/>
                <w:vertAlign w:val="superscript"/>
              </w:rPr>
              <w:t>1</w:t>
            </w:r>
            <w:r w:rsidR="00FF1C8C">
              <w:rPr>
                <w:b w:val="0"/>
                <w:color w:val="000000"/>
              </w:rPr>
              <w:t xml:space="preserve"> punktā noteiktajā </w:t>
            </w:r>
            <w:r w:rsidR="0024627B">
              <w:rPr>
                <w:b w:val="0"/>
                <w:color w:val="000000"/>
              </w:rPr>
              <w:t>kārtībā</w:t>
            </w:r>
            <w:r w:rsidR="00FF1C8C">
              <w:rPr>
                <w:b w:val="0"/>
                <w:color w:val="000000"/>
              </w:rPr>
              <w:t xml:space="preserve">. </w:t>
            </w:r>
          </w:p>
          <w:p w14:paraId="65FBC9A3" w14:textId="48E71E72" w:rsidR="004C50D0" w:rsidRDefault="00FF1C8C" w:rsidP="00514CB8">
            <w:pPr>
              <w:pStyle w:val="naisnod"/>
              <w:spacing w:before="0" w:after="0"/>
              <w:ind w:firstLine="318"/>
              <w:jc w:val="both"/>
              <w:rPr>
                <w:b w:val="0"/>
                <w:color w:val="000000"/>
              </w:rPr>
            </w:pPr>
            <w:r>
              <w:rPr>
                <w:b w:val="0"/>
                <w:color w:val="000000"/>
              </w:rPr>
              <w:t>N</w:t>
            </w:r>
            <w:r w:rsidR="004C50D0">
              <w:rPr>
                <w:b w:val="0"/>
                <w:color w:val="000000"/>
              </w:rPr>
              <w:t>oteikumu</w:t>
            </w:r>
            <w:r>
              <w:rPr>
                <w:b w:val="0"/>
                <w:color w:val="000000"/>
              </w:rPr>
              <w:t xml:space="preserve"> Nr.257 piemērošanas gaitā ir </w:t>
            </w:r>
            <w:r w:rsidR="002637D6">
              <w:rPr>
                <w:b w:val="0"/>
                <w:color w:val="000000"/>
              </w:rPr>
              <w:t>secināts, ka</w:t>
            </w:r>
            <w:r>
              <w:rPr>
                <w:b w:val="0"/>
                <w:color w:val="000000"/>
              </w:rPr>
              <w:t xml:space="preserve"> </w:t>
            </w:r>
            <w:r w:rsidR="00C26B01">
              <w:rPr>
                <w:b w:val="0"/>
                <w:color w:val="000000"/>
              </w:rPr>
              <w:t>22.</w:t>
            </w:r>
            <w:r w:rsidR="004C50D0">
              <w:rPr>
                <w:b w:val="0"/>
                <w:color w:val="000000"/>
              </w:rPr>
              <w:t xml:space="preserve"> punktā noteikt</w:t>
            </w:r>
            <w:r>
              <w:rPr>
                <w:b w:val="0"/>
                <w:color w:val="000000"/>
              </w:rPr>
              <w:t xml:space="preserve">ais </w:t>
            </w:r>
            <w:r w:rsidR="00C5646A">
              <w:rPr>
                <w:b w:val="0"/>
                <w:color w:val="000000"/>
              </w:rPr>
              <w:t xml:space="preserve">mācību izdevumu atmaksas </w:t>
            </w:r>
            <w:r>
              <w:rPr>
                <w:b w:val="0"/>
                <w:color w:val="000000"/>
              </w:rPr>
              <w:t xml:space="preserve">termiņš (divi gadi) </w:t>
            </w:r>
            <w:r w:rsidR="002637D6">
              <w:rPr>
                <w:b w:val="0"/>
                <w:color w:val="000000"/>
              </w:rPr>
              <w:t xml:space="preserve">amatpersonai, kura </w:t>
            </w:r>
            <w:r w:rsidR="002637D6" w:rsidRPr="0030064E">
              <w:rPr>
                <w:b w:val="0"/>
              </w:rPr>
              <w:t>nepārtrauc dienestu Iekšlietu ministrijas sistēmas iestādē vai Ieslodzījuma vietu pārvaldē</w:t>
            </w:r>
            <w:r w:rsidR="002637D6">
              <w:rPr>
                <w:b w:val="0"/>
              </w:rPr>
              <w:t>,</w:t>
            </w:r>
            <w:r w:rsidR="002637D6">
              <w:rPr>
                <w:b w:val="0"/>
                <w:color w:val="000000"/>
              </w:rPr>
              <w:t xml:space="preserve"> </w:t>
            </w:r>
            <w:r>
              <w:rPr>
                <w:b w:val="0"/>
                <w:color w:val="000000"/>
              </w:rPr>
              <w:t>ir par īsu un pa mēnešiem proporcionāli sadalītā summa</w:t>
            </w:r>
            <w:r w:rsidR="00AD3A86">
              <w:rPr>
                <w:b w:val="0"/>
                <w:color w:val="000000"/>
              </w:rPr>
              <w:t xml:space="preserve"> –</w:t>
            </w:r>
            <w:r>
              <w:rPr>
                <w:b w:val="0"/>
                <w:color w:val="000000"/>
              </w:rPr>
              <w:t xml:space="preserve"> par lielu, lai </w:t>
            </w:r>
            <w:r w:rsidR="002637D6">
              <w:rPr>
                <w:b w:val="0"/>
                <w:color w:val="000000"/>
              </w:rPr>
              <w:t>tā</w:t>
            </w:r>
            <w:r>
              <w:rPr>
                <w:b w:val="0"/>
                <w:color w:val="000000"/>
              </w:rPr>
              <w:t xml:space="preserve"> varētu godprātīgi izpildīt savas līgumsaistības. </w:t>
            </w:r>
          </w:p>
          <w:p w14:paraId="7F0E2AE4" w14:textId="3DAF1D08" w:rsidR="0017302A" w:rsidRDefault="0017302A" w:rsidP="0017302A">
            <w:pPr>
              <w:pStyle w:val="naisnod"/>
              <w:spacing w:before="0" w:after="0"/>
              <w:ind w:firstLine="318"/>
              <w:jc w:val="both"/>
              <w:rPr>
                <w:b w:val="0"/>
                <w:color w:val="000000"/>
              </w:rPr>
            </w:pPr>
            <w:r>
              <w:rPr>
                <w:b w:val="0"/>
                <w:color w:val="000000"/>
              </w:rPr>
              <w:t xml:space="preserve">Vēršam uzmanību uz to, ka regulējums neprasa šobrīd izvērtēt </w:t>
            </w:r>
            <w:r w:rsidRPr="00EA4FC6">
              <w:rPr>
                <w:b w:val="0"/>
                <w:color w:val="000000"/>
              </w:rPr>
              <w:t>informāciju</w:t>
            </w:r>
            <w:r w:rsidRPr="002D2A4B">
              <w:rPr>
                <w:b w:val="0"/>
                <w:color w:val="000000"/>
              </w:rPr>
              <w:t xml:space="preserve"> par </w:t>
            </w:r>
            <w:r w:rsidR="00CB1838">
              <w:rPr>
                <w:b w:val="0"/>
                <w:color w:val="000000"/>
              </w:rPr>
              <w:t>persona</w:t>
            </w:r>
            <w:r w:rsidR="00F710AF">
              <w:rPr>
                <w:b w:val="0"/>
                <w:color w:val="000000"/>
              </w:rPr>
              <w:t>s</w:t>
            </w:r>
            <w:r w:rsidRPr="002D2A4B">
              <w:rPr>
                <w:b w:val="0"/>
                <w:color w:val="000000"/>
              </w:rPr>
              <w:t xml:space="preserve"> </w:t>
            </w:r>
            <w:r>
              <w:rPr>
                <w:b w:val="0"/>
                <w:color w:val="000000"/>
              </w:rPr>
              <w:t xml:space="preserve">maksātspēju, </w:t>
            </w:r>
            <w:r w:rsidRPr="002D2A4B">
              <w:rPr>
                <w:b w:val="0"/>
                <w:color w:val="000000"/>
              </w:rPr>
              <w:t>personīgiem vai mājsaimniecības</w:t>
            </w:r>
            <w:r w:rsidRPr="002D2A4B">
              <w:rPr>
                <w:b w:val="0"/>
              </w:rPr>
              <w:t xml:space="preserve"> izdevumiem</w:t>
            </w:r>
            <w:r>
              <w:rPr>
                <w:b w:val="0"/>
              </w:rPr>
              <w:t>, kredītvēsturi un citiem riska faktoriem, kurus savukārt pirms kredīta izsniegšanas rūpīgi izvērtē</w:t>
            </w:r>
            <w:r w:rsidRPr="00EA4FC6">
              <w:rPr>
                <w:b w:val="0"/>
                <w:color w:val="000000"/>
              </w:rPr>
              <w:t xml:space="preserve"> </w:t>
            </w:r>
            <w:r>
              <w:rPr>
                <w:b w:val="0"/>
                <w:color w:val="000000"/>
              </w:rPr>
              <w:t xml:space="preserve">kredītiestādes. </w:t>
            </w:r>
          </w:p>
          <w:p w14:paraId="54017257" w14:textId="77777777" w:rsidR="0017302A" w:rsidRDefault="0017302A" w:rsidP="0017302A">
            <w:pPr>
              <w:pStyle w:val="naisnod"/>
              <w:spacing w:before="0" w:after="0"/>
              <w:ind w:firstLine="318"/>
              <w:jc w:val="both"/>
              <w:rPr>
                <w:b w:val="0"/>
                <w:color w:val="000000"/>
              </w:rPr>
            </w:pPr>
            <w:proofErr w:type="gramStart"/>
            <w:r>
              <w:rPr>
                <w:b w:val="0"/>
                <w:color w:val="000000"/>
              </w:rPr>
              <w:t>2013.gada</w:t>
            </w:r>
            <w:proofErr w:type="gramEnd"/>
            <w:r>
              <w:rPr>
                <w:b w:val="0"/>
                <w:color w:val="000000"/>
              </w:rPr>
              <w:t xml:space="preserve"> 16.augustā apstiprinātās Patērētāju tiesību aizsardzības centra Vadlīnijas Nr.7 “Patērētāju spējas atmaksāt kredītu novēršana kredītu devējiem, kas neatbilst kredītiestādes statusam” 11.punktā noteikts, ka </w:t>
            </w:r>
            <w:r w:rsidRPr="00011735">
              <w:rPr>
                <w:b w:val="0"/>
                <w:bCs w:val="0"/>
              </w:rPr>
              <w:t>p</w:t>
            </w:r>
            <w:r w:rsidRPr="00814050">
              <w:rPr>
                <w:b w:val="0"/>
                <w:bCs w:val="0"/>
              </w:rPr>
              <w:t xml:space="preserve">atērētājam, kura neto ienākumi ir lielāki par valstī noteiktās minimālās algas apmēru, bet nepārsniedz trīs minimālo algu kopsummu, kredītsaistību </w:t>
            </w:r>
            <w:r w:rsidRPr="00A61E8A">
              <w:rPr>
                <w:b w:val="0"/>
                <w:bCs w:val="0"/>
              </w:rPr>
              <w:t>kopējais ikmēneša apmērs nedrīkst pārsniegt 30%</w:t>
            </w:r>
            <w:r w:rsidRPr="00814050">
              <w:rPr>
                <w:b w:val="0"/>
                <w:bCs w:val="0"/>
              </w:rPr>
              <w:t xml:space="preserve"> no ikmēneša ienākumiem</w:t>
            </w:r>
            <w:r>
              <w:rPr>
                <w:b w:val="0"/>
              </w:rPr>
              <w:t>.</w:t>
            </w:r>
            <w:r w:rsidRPr="00011735">
              <w:rPr>
                <w:bCs w:val="0"/>
              </w:rPr>
              <w:t xml:space="preserve"> </w:t>
            </w:r>
          </w:p>
          <w:p w14:paraId="6587E343" w14:textId="77777777" w:rsidR="00AD3A86" w:rsidRDefault="003B54E6" w:rsidP="00A61E8A">
            <w:pPr>
              <w:pStyle w:val="naisnod"/>
              <w:spacing w:before="0" w:after="0"/>
              <w:ind w:firstLine="318"/>
              <w:jc w:val="both"/>
              <w:rPr>
                <w:b w:val="0"/>
                <w:color w:val="000000"/>
              </w:rPr>
            </w:pPr>
            <w:r w:rsidRPr="00A61E8A">
              <w:rPr>
                <w:b w:val="0"/>
                <w:color w:val="000000"/>
              </w:rPr>
              <w:t xml:space="preserve">Valsts policijas kārtībnieka amatā </w:t>
            </w:r>
            <w:r w:rsidR="00A61E8A">
              <w:rPr>
                <w:b w:val="0"/>
                <w:color w:val="000000"/>
              </w:rPr>
              <w:t>dienoša</w:t>
            </w:r>
            <w:r w:rsidRPr="00A61E8A">
              <w:rPr>
                <w:b w:val="0"/>
                <w:color w:val="000000"/>
              </w:rPr>
              <w:t xml:space="preserve"> amatpersona </w:t>
            </w:r>
            <w:r w:rsidR="00EC0148" w:rsidRPr="00A61E8A">
              <w:rPr>
                <w:b w:val="0"/>
                <w:color w:val="000000"/>
              </w:rPr>
              <w:t>(</w:t>
            </w:r>
            <w:r w:rsidRPr="00A61E8A">
              <w:rPr>
                <w:b w:val="0"/>
                <w:color w:val="000000"/>
              </w:rPr>
              <w:t>kuras vidēj</w:t>
            </w:r>
            <w:r w:rsidR="00EC0148" w:rsidRPr="00A61E8A">
              <w:rPr>
                <w:b w:val="0"/>
                <w:color w:val="000000"/>
              </w:rPr>
              <w:t>ā</w:t>
            </w:r>
            <w:r w:rsidRPr="00A61E8A">
              <w:rPr>
                <w:b w:val="0"/>
                <w:color w:val="000000"/>
              </w:rPr>
              <w:t xml:space="preserve"> </w:t>
            </w:r>
            <w:r w:rsidR="00EC0148" w:rsidRPr="00A61E8A">
              <w:rPr>
                <w:b w:val="0"/>
                <w:color w:val="000000"/>
              </w:rPr>
              <w:t xml:space="preserve">mēneša </w:t>
            </w:r>
            <w:r w:rsidRPr="00A61E8A">
              <w:rPr>
                <w:b w:val="0"/>
                <w:color w:val="000000"/>
              </w:rPr>
              <w:t>neto at</w:t>
            </w:r>
            <w:r w:rsidR="00EC0148" w:rsidRPr="00A61E8A">
              <w:rPr>
                <w:b w:val="0"/>
                <w:color w:val="000000"/>
              </w:rPr>
              <w:t>līdzība</w:t>
            </w:r>
            <w:r w:rsidRPr="00A61E8A">
              <w:rPr>
                <w:b w:val="0"/>
                <w:color w:val="000000"/>
              </w:rPr>
              <w:t xml:space="preserve"> saskaņā ar </w:t>
            </w:r>
            <w:r w:rsidR="00A61E8A">
              <w:rPr>
                <w:b w:val="0"/>
                <w:color w:val="000000"/>
              </w:rPr>
              <w:t>Valsts policijas</w:t>
            </w:r>
            <w:r w:rsidRPr="00A61E8A">
              <w:rPr>
                <w:b w:val="0"/>
                <w:color w:val="000000"/>
              </w:rPr>
              <w:t xml:space="preserve"> aprēķinu </w:t>
            </w:r>
            <w:r w:rsidR="00EC0148" w:rsidRPr="00A61E8A">
              <w:rPr>
                <w:b w:val="0"/>
                <w:color w:val="000000"/>
              </w:rPr>
              <w:t xml:space="preserve">sastāda </w:t>
            </w:r>
            <w:r w:rsidRPr="00A61E8A">
              <w:rPr>
                <w:b w:val="0"/>
                <w:color w:val="000000"/>
              </w:rPr>
              <w:t>EUR 546</w:t>
            </w:r>
            <w:r w:rsidR="00EC0148" w:rsidRPr="00A61E8A">
              <w:rPr>
                <w:b w:val="0"/>
                <w:color w:val="000000"/>
              </w:rPr>
              <w:t>)</w:t>
            </w:r>
            <w:r w:rsidRPr="00A61E8A">
              <w:rPr>
                <w:b w:val="0"/>
                <w:color w:val="000000"/>
              </w:rPr>
              <w:t>, iestājoties atmaksas gadījumam</w:t>
            </w:r>
            <w:r w:rsidR="00EC0148" w:rsidRPr="00A61E8A">
              <w:rPr>
                <w:b w:val="0"/>
                <w:color w:val="000000"/>
              </w:rPr>
              <w:t>,</w:t>
            </w:r>
            <w:r w:rsidRPr="00A61E8A">
              <w:rPr>
                <w:b w:val="0"/>
                <w:color w:val="000000"/>
              </w:rPr>
              <w:t xml:space="preserve"> divu gadu laikā</w:t>
            </w:r>
            <w:r w:rsidR="00EC0148" w:rsidRPr="00A61E8A">
              <w:rPr>
                <w:b w:val="0"/>
                <w:color w:val="000000"/>
              </w:rPr>
              <w:t xml:space="preserve"> ir spiesta atmaksāt faktisko izdevumu summu, kas par studijām Valsts policijas koledžas pirmā līmeņa profesionālās augstākās izglītības programmā “Policijas darbs” sastāda</w:t>
            </w:r>
            <w:r w:rsidR="00011735" w:rsidRPr="00A61E8A">
              <w:rPr>
                <w:b w:val="0"/>
                <w:color w:val="000000"/>
              </w:rPr>
              <w:t xml:space="preserve"> </w:t>
            </w:r>
            <w:r w:rsidR="00EC0148" w:rsidRPr="00A61E8A">
              <w:rPr>
                <w:b w:val="0"/>
                <w:color w:val="000000"/>
              </w:rPr>
              <w:t>E</w:t>
            </w:r>
            <w:r w:rsidR="00011735" w:rsidRPr="00A61E8A">
              <w:rPr>
                <w:b w:val="0"/>
                <w:color w:val="000000"/>
              </w:rPr>
              <w:t>UR</w:t>
            </w:r>
          </w:p>
          <w:p w14:paraId="35B20AA1" w14:textId="29C0C3CA" w:rsidR="00A61E8A" w:rsidRPr="00EE1512" w:rsidRDefault="00011735" w:rsidP="00A61E8A">
            <w:pPr>
              <w:pStyle w:val="naisnod"/>
              <w:spacing w:before="0" w:after="0"/>
              <w:ind w:firstLine="318"/>
              <w:jc w:val="both"/>
              <w:rPr>
                <w:rFonts w:ascii="Calibri" w:hAnsi="Calibri"/>
                <w:color w:val="1F497D"/>
                <w:sz w:val="22"/>
                <w:szCs w:val="22"/>
                <w:lang w:eastAsia="en-US"/>
              </w:rPr>
            </w:pPr>
            <w:r w:rsidRPr="00A61E8A">
              <w:rPr>
                <w:b w:val="0"/>
                <w:color w:val="000000"/>
              </w:rPr>
              <w:t xml:space="preserve"> 3 332.78.</w:t>
            </w:r>
            <w:r w:rsidR="00EC0148" w:rsidRPr="00A61E8A">
              <w:rPr>
                <w:b w:val="0"/>
                <w:color w:val="000000"/>
              </w:rPr>
              <w:t>, tas ir, 25.43 % no</w:t>
            </w:r>
            <w:r w:rsidR="00A61E8A">
              <w:rPr>
                <w:b w:val="0"/>
                <w:color w:val="000000"/>
              </w:rPr>
              <w:t xml:space="preserve"> vidējās mēneša neto atlīdzības, </w:t>
            </w:r>
            <w:r w:rsidR="00A61E8A" w:rsidRPr="00A61E8A">
              <w:rPr>
                <w:b w:val="0"/>
                <w:iCs/>
                <w:color w:val="000000"/>
              </w:rPr>
              <w:t>Valsts robežsardzes instruk</w:t>
            </w:r>
            <w:r w:rsidR="00A61E8A">
              <w:rPr>
                <w:b w:val="0"/>
                <w:iCs/>
                <w:color w:val="000000"/>
              </w:rPr>
              <w:t>tora amatā dienošās amatpersonai</w:t>
            </w:r>
            <w:r w:rsidR="00AD3A86">
              <w:rPr>
                <w:b w:val="0"/>
                <w:iCs/>
                <w:color w:val="000000"/>
              </w:rPr>
              <w:t xml:space="preserve"> –</w:t>
            </w:r>
            <w:r w:rsidR="00A61E8A" w:rsidRPr="00A61E8A">
              <w:rPr>
                <w:b w:val="0"/>
                <w:iCs/>
                <w:color w:val="000000"/>
              </w:rPr>
              <w:t xml:space="preserve"> </w:t>
            </w:r>
            <w:r w:rsidR="00A61E8A" w:rsidRPr="00A61E8A">
              <w:rPr>
                <w:b w:val="0"/>
                <w:iCs/>
              </w:rPr>
              <w:lastRenderedPageBreak/>
              <w:t>20.09% no vidējā instruktora neto atalgojuma</w:t>
            </w:r>
            <w:r w:rsidR="00A61E8A">
              <w:rPr>
                <w:b w:val="0"/>
                <w:iCs/>
              </w:rPr>
              <w:t xml:space="preserve">, bet </w:t>
            </w:r>
            <w:r w:rsidR="00A61E8A" w:rsidRPr="00A61E8A">
              <w:rPr>
                <w:b w:val="0"/>
                <w:iCs/>
              </w:rPr>
              <w:t>Valsts ugunsdzēsības un glābšanas dienesta ugunsdzēsēja</w:t>
            </w:r>
            <w:r w:rsidR="00A61E8A">
              <w:rPr>
                <w:b w:val="0"/>
                <w:iCs/>
              </w:rPr>
              <w:t>m–</w:t>
            </w:r>
            <w:proofErr w:type="gramStart"/>
            <w:r w:rsidR="00A61E8A" w:rsidRPr="00A61E8A">
              <w:rPr>
                <w:b w:val="0"/>
                <w:iCs/>
              </w:rPr>
              <w:t>glābēja</w:t>
            </w:r>
            <w:r w:rsidR="00A61E8A">
              <w:rPr>
                <w:b w:val="0"/>
                <w:iCs/>
              </w:rPr>
              <w:t>m</w:t>
            </w:r>
            <w:r w:rsidR="00AD3A86">
              <w:rPr>
                <w:b w:val="0"/>
                <w:iCs/>
              </w:rPr>
              <w:t>–</w:t>
            </w:r>
            <w:r w:rsidR="00A61E8A">
              <w:rPr>
                <w:b w:val="0"/>
                <w:iCs/>
              </w:rPr>
              <w:t xml:space="preserve"> </w:t>
            </w:r>
            <w:r w:rsidR="00A61E8A" w:rsidRPr="00A61E8A">
              <w:rPr>
                <w:b w:val="0"/>
                <w:iCs/>
              </w:rPr>
              <w:t>3</w:t>
            </w:r>
            <w:proofErr w:type="gramEnd"/>
            <w:r w:rsidR="00A61E8A" w:rsidRPr="00A61E8A">
              <w:rPr>
                <w:b w:val="0"/>
                <w:iCs/>
              </w:rPr>
              <w:t>0,5 % no vidējā neto atalgojuma vidējais neto atalgojum</w:t>
            </w:r>
            <w:r w:rsidR="00A61E8A">
              <w:rPr>
                <w:b w:val="0"/>
                <w:iCs/>
              </w:rPr>
              <w:t>a</w:t>
            </w:r>
            <w:r w:rsidR="00A61E8A" w:rsidRPr="00A61E8A">
              <w:rPr>
                <w:b w:val="0"/>
                <w:iCs/>
              </w:rPr>
              <w:t xml:space="preserve"> mēnesī</w:t>
            </w:r>
            <w:r w:rsidR="00A61E8A">
              <w:rPr>
                <w:b w:val="0"/>
                <w:iCs/>
              </w:rPr>
              <w:t>.</w:t>
            </w:r>
            <w:r w:rsidR="00A61E8A" w:rsidRPr="00A61E8A">
              <w:rPr>
                <w:b w:val="0"/>
                <w:iCs/>
              </w:rPr>
              <w:t xml:space="preserve"> </w:t>
            </w:r>
          </w:p>
          <w:p w14:paraId="64E37361" w14:textId="1CC428D2" w:rsidR="00304F79" w:rsidRPr="001F77D0" w:rsidRDefault="00011735" w:rsidP="00304F79">
            <w:pPr>
              <w:pStyle w:val="naisnod"/>
              <w:spacing w:before="0" w:after="0"/>
              <w:ind w:firstLine="318"/>
              <w:jc w:val="both"/>
              <w:rPr>
                <w:b w:val="0"/>
                <w:color w:val="000000"/>
              </w:rPr>
            </w:pPr>
            <w:r>
              <w:rPr>
                <w:b w:val="0"/>
                <w:color w:val="000000"/>
              </w:rPr>
              <w:t xml:space="preserve"> </w:t>
            </w:r>
            <w:r w:rsidR="001E2AAF">
              <w:rPr>
                <w:b w:val="0"/>
                <w:color w:val="000000"/>
              </w:rPr>
              <w:t>Minētais ļauj secināt, ka</w:t>
            </w:r>
            <w:r w:rsidR="00814050">
              <w:rPr>
                <w:b w:val="0"/>
                <w:color w:val="000000"/>
              </w:rPr>
              <w:t>,</w:t>
            </w:r>
            <w:r w:rsidR="001E2AAF">
              <w:rPr>
                <w:b w:val="0"/>
                <w:color w:val="000000"/>
              </w:rPr>
              <w:t xml:space="preserve"> </w:t>
            </w:r>
            <w:r w:rsidR="00814050">
              <w:rPr>
                <w:b w:val="0"/>
                <w:color w:val="000000"/>
              </w:rPr>
              <w:t xml:space="preserve">atstājot </w:t>
            </w:r>
            <w:r w:rsidR="00814050" w:rsidRPr="00CB1838">
              <w:rPr>
                <w:b w:val="0"/>
                <w:color w:val="000000"/>
              </w:rPr>
              <w:t xml:space="preserve">spēkā </w:t>
            </w:r>
            <w:r w:rsidR="00CB1838" w:rsidRPr="00CB1838">
              <w:rPr>
                <w:b w:val="0"/>
                <w:color w:val="000000"/>
              </w:rPr>
              <w:t xml:space="preserve">mācību izdevumu </w:t>
            </w:r>
            <w:r w:rsidR="00814050" w:rsidRPr="00CB1838">
              <w:rPr>
                <w:b w:val="0"/>
                <w:color w:val="000000"/>
              </w:rPr>
              <w:t>atgriešanas termiņu attiecībā pret amatpersonām, kuras</w:t>
            </w:r>
            <w:r w:rsidR="00C134E4">
              <w:rPr>
                <w:b w:val="0"/>
                <w:color w:val="000000"/>
              </w:rPr>
              <w:t xml:space="preserve"> dažādu iemeslu dēļ ir bijušas izslēgtas no izglītības iestādes</w:t>
            </w:r>
            <w:r w:rsidR="001C48F7">
              <w:rPr>
                <w:b w:val="0"/>
                <w:color w:val="000000"/>
              </w:rPr>
              <w:t>,</w:t>
            </w:r>
            <w:r w:rsidR="00C134E4">
              <w:rPr>
                <w:b w:val="0"/>
                <w:color w:val="000000"/>
              </w:rPr>
              <w:t xml:space="preserve"> bet turpina darbu Iekšlietu ministrijas sistēmas iestādēs vai Ieslodzījuma vietu pārvaldē, </w:t>
            </w:r>
            <w:r w:rsidR="001C48F7">
              <w:rPr>
                <w:b w:val="0"/>
                <w:color w:val="000000"/>
              </w:rPr>
              <w:t xml:space="preserve">valstij </w:t>
            </w:r>
            <w:r w:rsidR="00A76201">
              <w:rPr>
                <w:b w:val="0"/>
                <w:color w:val="000000"/>
              </w:rPr>
              <w:t xml:space="preserve">risks </w:t>
            </w:r>
            <w:r w:rsidR="001C48F7">
              <w:rPr>
                <w:b w:val="0"/>
                <w:color w:val="000000"/>
              </w:rPr>
              <w:t>neatgūt parāda atmaksu būtiski pieaug,</w:t>
            </w:r>
            <w:r w:rsidR="00A76201">
              <w:rPr>
                <w:b w:val="0"/>
                <w:color w:val="000000"/>
              </w:rPr>
              <w:t xml:space="preserve"> bet</w:t>
            </w:r>
            <w:r w:rsidR="001C48F7">
              <w:rPr>
                <w:b w:val="0"/>
                <w:color w:val="000000"/>
              </w:rPr>
              <w:t xml:space="preserve"> </w:t>
            </w:r>
            <w:r w:rsidR="00CB1838">
              <w:rPr>
                <w:b w:val="0"/>
                <w:color w:val="000000"/>
              </w:rPr>
              <w:t>amatpersonas tiek padarītas</w:t>
            </w:r>
            <w:r w:rsidR="00A76201">
              <w:rPr>
                <w:b w:val="0"/>
                <w:color w:val="000000"/>
              </w:rPr>
              <w:t xml:space="preserve"> </w:t>
            </w:r>
            <w:r w:rsidR="001C48F7">
              <w:rPr>
                <w:b w:val="0"/>
                <w:color w:val="000000"/>
              </w:rPr>
              <w:t>par situācijas ķ</w:t>
            </w:r>
            <w:r w:rsidR="00A76201">
              <w:rPr>
                <w:b w:val="0"/>
                <w:color w:val="000000"/>
              </w:rPr>
              <w:t>īlniekiem.</w:t>
            </w:r>
            <w:r w:rsidR="001C48F7">
              <w:rPr>
                <w:b w:val="0"/>
                <w:color w:val="000000"/>
              </w:rPr>
              <w:t xml:space="preserve"> </w:t>
            </w:r>
            <w:r w:rsidR="00C134E4">
              <w:rPr>
                <w:b w:val="0"/>
                <w:color w:val="000000"/>
              </w:rPr>
              <w:t>No vienas puses</w:t>
            </w:r>
            <w:r w:rsidR="00CF0F59">
              <w:rPr>
                <w:b w:val="0"/>
                <w:color w:val="000000"/>
              </w:rPr>
              <w:t>,</w:t>
            </w:r>
            <w:r w:rsidR="00C134E4">
              <w:rPr>
                <w:b w:val="0"/>
                <w:color w:val="000000"/>
              </w:rPr>
              <w:t xml:space="preserve"> amatpersonām, ņemot vēr</w:t>
            </w:r>
            <w:r w:rsidR="00CF0F59">
              <w:rPr>
                <w:b w:val="0"/>
                <w:color w:val="000000"/>
              </w:rPr>
              <w:t xml:space="preserve">ā zemo atalgojumu, jāspēj īsā termiņā dzēst parādu, </w:t>
            </w:r>
            <w:r w:rsidR="00B258C2">
              <w:rPr>
                <w:b w:val="0"/>
                <w:color w:val="000000"/>
              </w:rPr>
              <w:t>pakļaujot nabadzības riskam sevi un apgādājamo ģimeni, bet no otras puses, jāsag</w:t>
            </w:r>
            <w:r w:rsidR="00CF0F59">
              <w:rPr>
                <w:b w:val="0"/>
                <w:color w:val="000000"/>
              </w:rPr>
              <w:t>labā god</w:t>
            </w:r>
            <w:r w:rsidR="00B258C2">
              <w:rPr>
                <w:b w:val="0"/>
                <w:color w:val="000000"/>
              </w:rPr>
              <w:t>īgums un</w:t>
            </w:r>
            <w:r w:rsidR="00CF0F59">
              <w:rPr>
                <w:b w:val="0"/>
                <w:color w:val="000000"/>
              </w:rPr>
              <w:t xml:space="preserve"> lojalit</w:t>
            </w:r>
            <w:r w:rsidR="00B258C2">
              <w:rPr>
                <w:b w:val="0"/>
                <w:color w:val="000000"/>
              </w:rPr>
              <w:t>āte pret dienestu un sabiedrību kopumā.</w:t>
            </w:r>
            <w:r w:rsidR="00CF0F59">
              <w:rPr>
                <w:b w:val="0"/>
                <w:color w:val="000000"/>
              </w:rPr>
              <w:t xml:space="preserve"> </w:t>
            </w:r>
            <w:r w:rsidR="00300BCE">
              <w:rPr>
                <w:b w:val="0"/>
                <w:color w:val="000000"/>
              </w:rPr>
              <w:t>A</w:t>
            </w:r>
            <w:r w:rsidR="00CF0F59">
              <w:rPr>
                <w:b w:val="0"/>
                <w:color w:val="000000"/>
              </w:rPr>
              <w:t>matpersona</w:t>
            </w:r>
            <w:r w:rsidR="00300BCE">
              <w:rPr>
                <w:b w:val="0"/>
                <w:color w:val="000000"/>
              </w:rPr>
              <w:t>s</w:t>
            </w:r>
            <w:r w:rsidR="00CF0F59">
              <w:rPr>
                <w:b w:val="0"/>
                <w:color w:val="000000"/>
              </w:rPr>
              <w:t xml:space="preserve"> atr</w:t>
            </w:r>
            <w:r w:rsidR="00300BCE">
              <w:rPr>
                <w:b w:val="0"/>
                <w:color w:val="000000"/>
              </w:rPr>
              <w:t>ašanās</w:t>
            </w:r>
            <w:r w:rsidR="00CF0F59">
              <w:rPr>
                <w:b w:val="0"/>
                <w:color w:val="000000"/>
              </w:rPr>
              <w:t xml:space="preserve"> psiholoģiskas izdegšanas </w:t>
            </w:r>
            <w:r w:rsidR="00B258C2">
              <w:rPr>
                <w:b w:val="0"/>
                <w:color w:val="000000"/>
              </w:rPr>
              <w:t xml:space="preserve">un </w:t>
            </w:r>
            <w:r w:rsidR="00300BCE">
              <w:rPr>
                <w:b w:val="0"/>
                <w:color w:val="000000"/>
              </w:rPr>
              <w:t xml:space="preserve">psihoemocionālā riska </w:t>
            </w:r>
            <w:r w:rsidR="00B258C2">
              <w:rPr>
                <w:b w:val="0"/>
                <w:color w:val="000000"/>
              </w:rPr>
              <w:t xml:space="preserve">stāvoklī </w:t>
            </w:r>
            <w:r w:rsidR="00300BCE">
              <w:rPr>
                <w:b w:val="0"/>
                <w:color w:val="000000"/>
              </w:rPr>
              <w:t>rada</w:t>
            </w:r>
            <w:r w:rsidR="00CF0F59">
              <w:rPr>
                <w:b w:val="0"/>
                <w:color w:val="000000"/>
              </w:rPr>
              <w:t xml:space="preserve"> </w:t>
            </w:r>
            <w:r w:rsidR="00300BCE">
              <w:rPr>
                <w:b w:val="0"/>
                <w:color w:val="000000"/>
              </w:rPr>
              <w:t>iespējamību disciplīnas un ētikas normu pārkāpumiem, kā arī</w:t>
            </w:r>
            <w:r w:rsidR="00B258C2">
              <w:rPr>
                <w:b w:val="0"/>
                <w:color w:val="000000"/>
              </w:rPr>
              <w:t xml:space="preserve"> </w:t>
            </w:r>
            <w:r w:rsidR="00300BCE">
              <w:rPr>
                <w:b w:val="0"/>
                <w:color w:val="000000"/>
              </w:rPr>
              <w:t>ne</w:t>
            </w:r>
            <w:r w:rsidR="00CF0F59">
              <w:rPr>
                <w:b w:val="0"/>
                <w:color w:val="000000"/>
              </w:rPr>
              <w:t>kvalitat</w:t>
            </w:r>
            <w:r w:rsidR="00300BCE">
              <w:rPr>
                <w:b w:val="0"/>
                <w:color w:val="000000"/>
              </w:rPr>
              <w:t>īvai</w:t>
            </w:r>
            <w:r w:rsidR="00CF0F59">
              <w:rPr>
                <w:b w:val="0"/>
                <w:color w:val="000000"/>
              </w:rPr>
              <w:t xml:space="preserve"> dienesta pienākumu</w:t>
            </w:r>
            <w:r w:rsidR="00300BCE">
              <w:rPr>
                <w:b w:val="0"/>
                <w:color w:val="000000"/>
              </w:rPr>
              <w:t xml:space="preserve"> izpildei</w:t>
            </w:r>
            <w:r w:rsidR="00B258C2">
              <w:rPr>
                <w:b w:val="0"/>
                <w:color w:val="000000"/>
              </w:rPr>
              <w:t>.</w:t>
            </w:r>
            <w:r w:rsidR="00EC0148">
              <w:rPr>
                <w:b w:val="0"/>
                <w:color w:val="000000"/>
              </w:rPr>
              <w:t xml:space="preserve"> </w:t>
            </w:r>
            <w:r w:rsidR="00F05A1D">
              <w:rPr>
                <w:b w:val="0"/>
                <w:color w:val="000000"/>
              </w:rPr>
              <w:t>Lai novērstu minētās problēmas n</w:t>
            </w:r>
            <w:r w:rsidR="00304F79" w:rsidRPr="001F77D0">
              <w:rPr>
                <w:b w:val="0"/>
                <w:color w:val="000000"/>
              </w:rPr>
              <w:t>oteikumu projekts paredz:</w:t>
            </w:r>
          </w:p>
          <w:p w14:paraId="7F0105CE" w14:textId="4D749F1D" w:rsidR="002F111A" w:rsidRPr="001D1EED" w:rsidRDefault="00304F79" w:rsidP="002F111A">
            <w:pPr>
              <w:pStyle w:val="naisnod"/>
              <w:numPr>
                <w:ilvl w:val="0"/>
                <w:numId w:val="24"/>
              </w:numPr>
              <w:tabs>
                <w:tab w:val="left" w:pos="599"/>
              </w:tabs>
              <w:spacing w:before="0" w:after="0"/>
              <w:jc w:val="both"/>
              <w:rPr>
                <w:b w:val="0"/>
              </w:rPr>
            </w:pPr>
            <w:r w:rsidRPr="001F77D0">
              <w:rPr>
                <w:b w:val="0"/>
              </w:rPr>
              <w:t>papildināt noteikumus Nr.257 ar 21.</w:t>
            </w:r>
            <w:r w:rsidRPr="002F111A">
              <w:rPr>
                <w:b w:val="0"/>
                <w:color w:val="000000" w:themeColor="text1"/>
                <w:vertAlign w:val="superscript"/>
              </w:rPr>
              <w:t xml:space="preserve">2 </w:t>
            </w:r>
            <w:r w:rsidRPr="001F77D0">
              <w:rPr>
                <w:b w:val="0"/>
              </w:rPr>
              <w:t xml:space="preserve">punktu, </w:t>
            </w:r>
            <w:r w:rsidR="002F111A">
              <w:rPr>
                <w:b w:val="0"/>
              </w:rPr>
              <w:t>nosakot</w:t>
            </w:r>
            <w:r w:rsidRPr="001F77D0">
              <w:rPr>
                <w:b w:val="0"/>
              </w:rPr>
              <w:t xml:space="preserve">, ka amatpersonas, kuras izslēgtas no izglītības iestādes un nepārtrauc dienestu Iekšlietu ministrijas sistēmas iestādē vai Ieslodzījuma vietu pārvaldē, mācību </w:t>
            </w:r>
            <w:r w:rsidRPr="001D1EED">
              <w:rPr>
                <w:b w:val="0"/>
              </w:rPr>
              <w:t>izd</w:t>
            </w:r>
            <w:r w:rsidR="002F111A" w:rsidRPr="001D1EED">
              <w:rPr>
                <w:b w:val="0"/>
              </w:rPr>
              <w:t>evumus atmaksās trīs gadu laikā;</w:t>
            </w:r>
          </w:p>
          <w:p w14:paraId="04A957DE" w14:textId="08875912" w:rsidR="002F111A" w:rsidRPr="002F111A" w:rsidRDefault="002F111A" w:rsidP="002F111A">
            <w:pPr>
              <w:pStyle w:val="naisnod"/>
              <w:numPr>
                <w:ilvl w:val="0"/>
                <w:numId w:val="24"/>
              </w:numPr>
              <w:tabs>
                <w:tab w:val="left" w:pos="599"/>
              </w:tabs>
              <w:spacing w:before="0" w:after="0"/>
              <w:jc w:val="both"/>
              <w:rPr>
                <w:b w:val="0"/>
              </w:rPr>
            </w:pPr>
            <w:r w:rsidRPr="002F111A">
              <w:rPr>
                <w:b w:val="0"/>
              </w:rPr>
              <w:t>p</w:t>
            </w:r>
            <w:r>
              <w:rPr>
                <w:b w:val="0"/>
              </w:rPr>
              <w:t>recizēt noteikumu Nr.257 22</w:t>
            </w:r>
            <w:r w:rsidRPr="002F111A">
              <w:rPr>
                <w:b w:val="0"/>
              </w:rPr>
              <w:t xml:space="preserve">.punktu, </w:t>
            </w:r>
            <w:r>
              <w:rPr>
                <w:b w:val="0"/>
              </w:rPr>
              <w:t>saglabājot divu gadu mācību atmaksas pienākumu, gadījumos, kad persona ir bijusi atvaļināta no dienesta;</w:t>
            </w:r>
          </w:p>
          <w:p w14:paraId="77D46908" w14:textId="76ACFC1D" w:rsidR="00304F79" w:rsidRPr="001F77D0" w:rsidRDefault="00304F79" w:rsidP="002F111A">
            <w:pPr>
              <w:pStyle w:val="naisnod"/>
              <w:numPr>
                <w:ilvl w:val="0"/>
                <w:numId w:val="24"/>
              </w:numPr>
              <w:tabs>
                <w:tab w:val="left" w:pos="599"/>
              </w:tabs>
              <w:spacing w:before="0" w:after="0"/>
              <w:jc w:val="both"/>
              <w:rPr>
                <w:b w:val="0"/>
              </w:rPr>
            </w:pPr>
            <w:r w:rsidRPr="001F77D0">
              <w:rPr>
                <w:b w:val="0"/>
              </w:rPr>
              <w:t>precizēt noteikumu Nr.257 23.punktu</w:t>
            </w:r>
            <w:r w:rsidR="0024627B">
              <w:rPr>
                <w:b w:val="0"/>
              </w:rPr>
              <w:t xml:space="preserve"> (to papildinot ar atsauci uz 19.¹ un </w:t>
            </w:r>
            <w:r w:rsidR="0024627B" w:rsidRPr="001F77D0">
              <w:rPr>
                <w:b w:val="0"/>
              </w:rPr>
              <w:t>21.</w:t>
            </w:r>
            <w:r w:rsidR="0024627B" w:rsidRPr="001F77D0">
              <w:rPr>
                <w:b w:val="0"/>
                <w:color w:val="000000" w:themeColor="text1"/>
                <w:vertAlign w:val="superscript"/>
              </w:rPr>
              <w:t xml:space="preserve">2 </w:t>
            </w:r>
            <w:r w:rsidR="0024627B">
              <w:rPr>
                <w:b w:val="0"/>
              </w:rPr>
              <w:t>punktā norādītajiem gadījumiem)</w:t>
            </w:r>
            <w:r w:rsidRPr="001F77D0">
              <w:rPr>
                <w:b w:val="0"/>
              </w:rPr>
              <w:t xml:space="preserve">, lai </w:t>
            </w:r>
            <w:r w:rsidR="0024627B">
              <w:rPr>
                <w:b w:val="0"/>
              </w:rPr>
              <w:t>papildinātu gadījumu uzskaitījumu, kuro</w:t>
            </w:r>
            <w:r w:rsidRPr="001F77D0">
              <w:rPr>
                <w:b w:val="0"/>
              </w:rPr>
              <w:t>s neatmaksātos mācību izdevumus piedzen tiesas ceļā</w:t>
            </w:r>
            <w:r w:rsidR="00827B7B">
              <w:rPr>
                <w:b w:val="0"/>
              </w:rPr>
              <w:t>.</w:t>
            </w:r>
          </w:p>
          <w:p w14:paraId="7590BB15" w14:textId="3991FBC7" w:rsidR="00F61039" w:rsidRPr="00F44C65" w:rsidRDefault="00F16CF1" w:rsidP="00AD3A86">
            <w:pPr>
              <w:pStyle w:val="naisnod"/>
              <w:tabs>
                <w:tab w:val="left" w:pos="599"/>
              </w:tabs>
              <w:spacing w:before="0" w:after="0"/>
              <w:ind w:firstLine="344"/>
              <w:jc w:val="both"/>
              <w:rPr>
                <w:b w:val="0"/>
              </w:rPr>
            </w:pPr>
            <w:r w:rsidRPr="00F16CF1">
              <w:rPr>
                <w:b w:val="0"/>
              </w:rPr>
              <w:t>Noteikumu projekt</w:t>
            </w:r>
            <w:r w:rsidR="00AD3A86">
              <w:rPr>
                <w:b w:val="0"/>
              </w:rPr>
              <w:t xml:space="preserve">am saistībā ar atmaksas termiņa pagarinājumu no diviem uz trim gadiem nav būtiskas un aprēķināmas ietekmes uz valsts pamatbudžeta ieņēmumiem, jo šo valsts pamatbudžeta nenodokļu ieņēmumu apjoms netiek plānots un ir mainīgs atkarībā no atmaksājamās summas un atmaksas gadījumu skaita. </w:t>
            </w:r>
            <w:r>
              <w:rPr>
                <w:b w:val="0"/>
              </w:rPr>
              <w:t>Noteikumu projekta</w:t>
            </w:r>
            <w:r w:rsidRPr="00F16CF1">
              <w:rPr>
                <w:b w:val="0"/>
                <w:color w:val="000000"/>
              </w:rPr>
              <w:t xml:space="preserve"> </w:t>
            </w:r>
            <w:r>
              <w:rPr>
                <w:b w:val="0"/>
                <w:color w:val="000000"/>
              </w:rPr>
              <w:t>regulējums būs attiecināms</w:t>
            </w:r>
            <w:r w:rsidRPr="00F16CF1">
              <w:rPr>
                <w:b w:val="0"/>
                <w:color w:val="000000"/>
              </w:rPr>
              <w:t xml:space="preserve"> tikai uz tiem atmaksas gadījumiem, kas sekos pēc grozījumu spēkā stāšanās brīža, tādēļ ietekme uz </w:t>
            </w:r>
            <w:r>
              <w:rPr>
                <w:b w:val="0"/>
                <w:color w:val="000000"/>
              </w:rPr>
              <w:t xml:space="preserve">jau </w:t>
            </w:r>
            <w:r w:rsidRPr="00F16CF1">
              <w:rPr>
                <w:b w:val="0"/>
                <w:color w:val="000000"/>
              </w:rPr>
              <w:t>uzsāktajām tiesvedībām nebūs.</w:t>
            </w:r>
          </w:p>
        </w:tc>
      </w:tr>
      <w:tr w:rsidR="002041BA" w:rsidRPr="00841F77" w14:paraId="1BD9F1E9" w14:textId="77777777" w:rsidTr="000773AE">
        <w:trPr>
          <w:gridBefore w:val="1"/>
          <w:wBefore w:w="13" w:type="dxa"/>
        </w:trPr>
        <w:tc>
          <w:tcPr>
            <w:tcW w:w="427" w:type="dxa"/>
            <w:tcBorders>
              <w:bottom w:val="single" w:sz="4" w:space="0" w:color="auto"/>
            </w:tcBorders>
            <w:shd w:val="clear" w:color="auto" w:fill="auto"/>
          </w:tcPr>
          <w:p w14:paraId="7F20D040" w14:textId="5E46212F" w:rsidR="002041BA" w:rsidRPr="00841F77" w:rsidRDefault="002041BA" w:rsidP="00304B3E">
            <w:pPr>
              <w:pStyle w:val="naisnod"/>
              <w:jc w:val="left"/>
              <w:rPr>
                <w:b w:val="0"/>
              </w:rPr>
            </w:pPr>
            <w:r w:rsidRPr="00841F77">
              <w:rPr>
                <w:b w:val="0"/>
              </w:rPr>
              <w:lastRenderedPageBreak/>
              <w:t>3.</w:t>
            </w:r>
          </w:p>
        </w:tc>
        <w:tc>
          <w:tcPr>
            <w:tcW w:w="2410" w:type="dxa"/>
            <w:tcBorders>
              <w:bottom w:val="single" w:sz="4" w:space="0" w:color="auto"/>
            </w:tcBorders>
            <w:shd w:val="clear" w:color="auto" w:fill="auto"/>
          </w:tcPr>
          <w:p w14:paraId="28E22F06" w14:textId="5CECF1DB" w:rsidR="002041BA" w:rsidRPr="00841F77" w:rsidRDefault="00304B3E" w:rsidP="00304B3E">
            <w:pPr>
              <w:pStyle w:val="naisf"/>
              <w:ind w:left="175" w:firstLine="0"/>
              <w:jc w:val="left"/>
            </w:pPr>
            <w:r w:rsidRPr="00754739">
              <w:t>Projekta izstrādē iesaistītās institūcijas</w:t>
            </w:r>
          </w:p>
        </w:tc>
        <w:tc>
          <w:tcPr>
            <w:tcW w:w="6519" w:type="dxa"/>
            <w:gridSpan w:val="4"/>
            <w:tcBorders>
              <w:bottom w:val="single" w:sz="4" w:space="0" w:color="auto"/>
            </w:tcBorders>
            <w:shd w:val="clear" w:color="auto" w:fill="auto"/>
          </w:tcPr>
          <w:p w14:paraId="0832B1C1" w14:textId="1200F092" w:rsidR="002041BA" w:rsidRPr="00841F77" w:rsidRDefault="009623FE" w:rsidP="009623FE">
            <w:r>
              <w:rPr>
                <w:rFonts w:eastAsia="EUAlbertina_Bold"/>
              </w:rPr>
              <w:t xml:space="preserve">Iekšlietu ministrija, </w:t>
            </w:r>
            <w:r w:rsidR="00304B3E">
              <w:rPr>
                <w:rFonts w:eastAsia="EUAlbertina_Bold"/>
              </w:rPr>
              <w:t>Valsts policija</w:t>
            </w:r>
            <w:r>
              <w:rPr>
                <w:rFonts w:eastAsia="EUAlbertina_Bold"/>
              </w:rPr>
              <w:t>,</w:t>
            </w:r>
            <w:r w:rsidR="00304B3E">
              <w:rPr>
                <w:rFonts w:eastAsia="EUAlbertina_Bold"/>
              </w:rPr>
              <w:t xml:space="preserve"> Valsts policijas koledža</w:t>
            </w:r>
            <w:r>
              <w:rPr>
                <w:rFonts w:eastAsia="EUAlbertina_Bold"/>
              </w:rPr>
              <w:t>, Valsts robežsardze, Valsts ugunsdzēsības un glābšanas dienests, Ieslodzījumu vietu pārvalde.</w:t>
            </w:r>
          </w:p>
        </w:tc>
      </w:tr>
      <w:tr w:rsidR="002041BA" w:rsidRPr="00841F77" w14:paraId="686AF22C" w14:textId="77777777" w:rsidTr="000773AE">
        <w:trPr>
          <w:gridBefore w:val="1"/>
          <w:wBefore w:w="13" w:type="dxa"/>
        </w:trPr>
        <w:tc>
          <w:tcPr>
            <w:tcW w:w="427" w:type="dxa"/>
            <w:tcBorders>
              <w:bottom w:val="single" w:sz="4" w:space="0" w:color="auto"/>
            </w:tcBorders>
            <w:shd w:val="clear" w:color="auto" w:fill="auto"/>
          </w:tcPr>
          <w:p w14:paraId="13224559" w14:textId="77777777" w:rsidR="002041BA" w:rsidRPr="00841F77" w:rsidRDefault="002041BA" w:rsidP="00304B3E">
            <w:pPr>
              <w:pStyle w:val="naisnod"/>
              <w:jc w:val="left"/>
              <w:rPr>
                <w:b w:val="0"/>
              </w:rPr>
            </w:pPr>
            <w:r w:rsidRPr="00841F77">
              <w:rPr>
                <w:b w:val="0"/>
              </w:rPr>
              <w:t>4.</w:t>
            </w:r>
          </w:p>
        </w:tc>
        <w:tc>
          <w:tcPr>
            <w:tcW w:w="2410" w:type="dxa"/>
            <w:tcBorders>
              <w:bottom w:val="single" w:sz="4" w:space="0" w:color="auto"/>
            </w:tcBorders>
            <w:shd w:val="clear" w:color="auto" w:fill="auto"/>
          </w:tcPr>
          <w:p w14:paraId="24CB28AC" w14:textId="77777777" w:rsidR="002041BA" w:rsidRPr="00841F77" w:rsidRDefault="002041BA" w:rsidP="00304B3E">
            <w:pPr>
              <w:pStyle w:val="naisf"/>
              <w:ind w:left="350" w:hanging="180"/>
              <w:jc w:val="left"/>
            </w:pPr>
            <w:r>
              <w:t>Cita informācija</w:t>
            </w:r>
          </w:p>
        </w:tc>
        <w:tc>
          <w:tcPr>
            <w:tcW w:w="6519" w:type="dxa"/>
            <w:gridSpan w:val="4"/>
            <w:tcBorders>
              <w:bottom w:val="single" w:sz="4" w:space="0" w:color="auto"/>
            </w:tcBorders>
            <w:shd w:val="clear" w:color="auto" w:fill="auto"/>
          </w:tcPr>
          <w:p w14:paraId="20E410F3" w14:textId="77777777" w:rsidR="002041BA" w:rsidRPr="00841F77" w:rsidRDefault="002041BA" w:rsidP="00B764DF">
            <w:r>
              <w:rPr>
                <w:rFonts w:eastAsia="EUAlbertina_Bold"/>
              </w:rPr>
              <w:t>Nav</w:t>
            </w:r>
            <w:r w:rsidRPr="00841F77">
              <w:rPr>
                <w:rFonts w:eastAsia="EUAlbertina_Bold"/>
              </w:rPr>
              <w:t>.</w:t>
            </w:r>
          </w:p>
        </w:tc>
      </w:tr>
      <w:tr w:rsidR="002041BA" w:rsidRPr="00841F77" w14:paraId="48FAA6F2" w14:textId="77777777" w:rsidTr="000773AE">
        <w:trPr>
          <w:gridBefore w:val="1"/>
          <w:wBefore w:w="13" w:type="dxa"/>
        </w:trPr>
        <w:tc>
          <w:tcPr>
            <w:tcW w:w="9356" w:type="dxa"/>
            <w:gridSpan w:val="6"/>
            <w:tcBorders>
              <w:top w:val="single" w:sz="4" w:space="0" w:color="auto"/>
            </w:tcBorders>
            <w:shd w:val="clear" w:color="auto" w:fill="auto"/>
          </w:tcPr>
          <w:p w14:paraId="03A76C84" w14:textId="1CFAB30A" w:rsidR="002041BA" w:rsidRPr="00841F77" w:rsidRDefault="002041BA" w:rsidP="00B764DF">
            <w:pPr>
              <w:pStyle w:val="naisf"/>
              <w:spacing w:before="0" w:after="0"/>
              <w:ind w:firstLine="0"/>
              <w:jc w:val="center"/>
              <w:rPr>
                <w:b/>
              </w:rPr>
            </w:pPr>
            <w:r w:rsidRPr="00841F77">
              <w:rPr>
                <w:b/>
                <w:bCs/>
              </w:rPr>
              <w:t xml:space="preserve">II. </w:t>
            </w:r>
            <w:r w:rsidRPr="00E370F8">
              <w:rPr>
                <w:b/>
                <w:bCs/>
              </w:rPr>
              <w:t>Tiesību akta projekta ietekme uz sabiedrību</w:t>
            </w:r>
            <w:r>
              <w:rPr>
                <w:b/>
                <w:bCs/>
              </w:rPr>
              <w:t>, tautsaimniecības attīstību un administratīvo slogu</w:t>
            </w:r>
          </w:p>
        </w:tc>
      </w:tr>
      <w:tr w:rsidR="002041BA" w:rsidRPr="00841F77" w14:paraId="57583C53" w14:textId="77777777" w:rsidTr="000773AE">
        <w:trPr>
          <w:gridBefore w:val="1"/>
          <w:wBefore w:w="13" w:type="dxa"/>
        </w:trPr>
        <w:tc>
          <w:tcPr>
            <w:tcW w:w="427" w:type="dxa"/>
            <w:shd w:val="clear" w:color="auto" w:fill="auto"/>
          </w:tcPr>
          <w:p w14:paraId="52E36515" w14:textId="77777777" w:rsidR="002041BA" w:rsidRPr="00841F77" w:rsidRDefault="002041BA" w:rsidP="00304B3E">
            <w:pPr>
              <w:pStyle w:val="naisnod"/>
              <w:ind w:left="180" w:hanging="180"/>
              <w:jc w:val="left"/>
              <w:rPr>
                <w:b w:val="0"/>
              </w:rPr>
            </w:pPr>
            <w:r w:rsidRPr="00841F77">
              <w:rPr>
                <w:b w:val="0"/>
              </w:rPr>
              <w:t>1.</w:t>
            </w:r>
          </w:p>
        </w:tc>
        <w:tc>
          <w:tcPr>
            <w:tcW w:w="2410" w:type="dxa"/>
            <w:shd w:val="clear" w:color="auto" w:fill="auto"/>
          </w:tcPr>
          <w:p w14:paraId="78A9C84B" w14:textId="766718F2" w:rsidR="002041BA" w:rsidRPr="00841F77" w:rsidRDefault="002041BA" w:rsidP="00304B3E">
            <w:pPr>
              <w:pStyle w:val="naisf"/>
              <w:ind w:left="170" w:firstLine="0"/>
              <w:jc w:val="left"/>
            </w:pPr>
            <w:r w:rsidRPr="00E370F8">
              <w:t>Sabiedrības mērķgrupa</w:t>
            </w:r>
            <w:r>
              <w:t xml:space="preserve">s, kuras tiesiskais regulējums </w:t>
            </w:r>
            <w:r>
              <w:lastRenderedPageBreak/>
              <w:t>ietekmē vai varētu ietekmēt</w:t>
            </w:r>
          </w:p>
        </w:tc>
        <w:tc>
          <w:tcPr>
            <w:tcW w:w="6519" w:type="dxa"/>
            <w:gridSpan w:val="4"/>
            <w:shd w:val="clear" w:color="auto" w:fill="auto"/>
            <w:vAlign w:val="center"/>
          </w:tcPr>
          <w:p w14:paraId="2475D424" w14:textId="525F23F6" w:rsidR="002041BA" w:rsidRPr="002041BA" w:rsidRDefault="002041BA" w:rsidP="0013386A">
            <w:pPr>
              <w:pStyle w:val="naisnod"/>
              <w:jc w:val="both"/>
              <w:rPr>
                <w:b w:val="0"/>
              </w:rPr>
            </w:pPr>
            <w:r w:rsidRPr="002041BA">
              <w:rPr>
                <w:b w:val="0"/>
              </w:rPr>
              <w:lastRenderedPageBreak/>
              <w:t xml:space="preserve">Iekšlietu ministrijas sistēmas iestāžu un Ieslodzījuma vietu pārvaldes amatpersonas ar speciālajām dienesta pakāpēm, kuras apgūst kādu no Iekšlietu ministrijas sistēmas iestāžu padotībā </w:t>
            </w:r>
            <w:r w:rsidRPr="002041BA">
              <w:rPr>
                <w:b w:val="0"/>
              </w:rPr>
              <w:lastRenderedPageBreak/>
              <w:t>esošo koledžu un Ieslodzījuma vietu pārvaldes Mācību centra izglītības programmām.</w:t>
            </w:r>
          </w:p>
        </w:tc>
      </w:tr>
      <w:tr w:rsidR="002041BA" w:rsidRPr="00841F77" w14:paraId="05E854F5" w14:textId="77777777" w:rsidTr="000773AE">
        <w:trPr>
          <w:gridBefore w:val="1"/>
          <w:wBefore w:w="13" w:type="dxa"/>
        </w:trPr>
        <w:tc>
          <w:tcPr>
            <w:tcW w:w="427" w:type="dxa"/>
            <w:shd w:val="clear" w:color="auto" w:fill="auto"/>
          </w:tcPr>
          <w:p w14:paraId="6F0F0E6C" w14:textId="77777777" w:rsidR="002041BA" w:rsidRPr="00841F77" w:rsidRDefault="002041BA" w:rsidP="00304B3E">
            <w:pPr>
              <w:pStyle w:val="naisnod"/>
              <w:jc w:val="left"/>
              <w:rPr>
                <w:b w:val="0"/>
              </w:rPr>
            </w:pPr>
            <w:r w:rsidRPr="00841F77">
              <w:rPr>
                <w:b w:val="0"/>
              </w:rPr>
              <w:lastRenderedPageBreak/>
              <w:t>2.</w:t>
            </w:r>
          </w:p>
        </w:tc>
        <w:tc>
          <w:tcPr>
            <w:tcW w:w="2410" w:type="dxa"/>
            <w:shd w:val="clear" w:color="auto" w:fill="auto"/>
          </w:tcPr>
          <w:p w14:paraId="2FA93002" w14:textId="3DFF6D05" w:rsidR="002041BA" w:rsidRPr="00841F77" w:rsidRDefault="002041BA" w:rsidP="00304B3E">
            <w:pPr>
              <w:pStyle w:val="naisf"/>
              <w:ind w:left="170" w:firstLine="0"/>
              <w:jc w:val="left"/>
            </w:pPr>
            <w:r>
              <w:t>Tiesiskā regulējuma</w:t>
            </w:r>
            <w:r w:rsidRPr="00E370F8">
              <w:t xml:space="preserve"> ietekme</w:t>
            </w:r>
            <w:r>
              <w:t xml:space="preserve"> uz tautsaimniecību un administratīvo slogu</w:t>
            </w:r>
            <w:r w:rsidRPr="00841F77">
              <w:t xml:space="preserve"> </w:t>
            </w:r>
          </w:p>
        </w:tc>
        <w:tc>
          <w:tcPr>
            <w:tcW w:w="6519" w:type="dxa"/>
            <w:gridSpan w:val="4"/>
            <w:shd w:val="clear" w:color="auto" w:fill="auto"/>
          </w:tcPr>
          <w:p w14:paraId="08A3906D" w14:textId="2EED6F80" w:rsidR="002041BA" w:rsidRPr="00C96B73" w:rsidRDefault="00F710AF" w:rsidP="00592400">
            <w:pPr>
              <w:pStyle w:val="naisnod"/>
              <w:jc w:val="left"/>
              <w:rPr>
                <w:b w:val="0"/>
              </w:rPr>
            </w:pPr>
            <w:r w:rsidRPr="00F710AF">
              <w:rPr>
                <w:b w:val="0"/>
              </w:rPr>
              <w:t>Projekts šo jomu neskar.</w:t>
            </w:r>
          </w:p>
        </w:tc>
      </w:tr>
      <w:tr w:rsidR="002041BA" w:rsidRPr="00841F77" w14:paraId="762D66E9" w14:textId="77777777" w:rsidTr="000773AE">
        <w:trPr>
          <w:gridBefore w:val="1"/>
          <w:wBefore w:w="13" w:type="dxa"/>
        </w:trPr>
        <w:tc>
          <w:tcPr>
            <w:tcW w:w="427" w:type="dxa"/>
            <w:tcBorders>
              <w:bottom w:val="single" w:sz="4" w:space="0" w:color="auto"/>
            </w:tcBorders>
            <w:shd w:val="clear" w:color="auto" w:fill="auto"/>
          </w:tcPr>
          <w:p w14:paraId="3D0FE6B0" w14:textId="77777777" w:rsidR="002041BA" w:rsidRPr="00841F77" w:rsidRDefault="002041BA" w:rsidP="00304B3E">
            <w:pPr>
              <w:pStyle w:val="naisnod"/>
              <w:jc w:val="left"/>
              <w:rPr>
                <w:b w:val="0"/>
              </w:rPr>
            </w:pPr>
            <w:r w:rsidRPr="00841F77">
              <w:rPr>
                <w:b w:val="0"/>
              </w:rPr>
              <w:t>3.</w:t>
            </w:r>
          </w:p>
        </w:tc>
        <w:tc>
          <w:tcPr>
            <w:tcW w:w="2410" w:type="dxa"/>
            <w:tcBorders>
              <w:bottom w:val="single" w:sz="4" w:space="0" w:color="auto"/>
            </w:tcBorders>
            <w:shd w:val="clear" w:color="auto" w:fill="auto"/>
          </w:tcPr>
          <w:p w14:paraId="2611C3CF" w14:textId="6A77A305" w:rsidR="002041BA" w:rsidRPr="00841F77" w:rsidRDefault="002041BA" w:rsidP="00304B3E">
            <w:pPr>
              <w:pStyle w:val="naisf"/>
              <w:ind w:left="175" w:firstLine="0"/>
              <w:jc w:val="left"/>
            </w:pPr>
            <w:r>
              <w:t>Administratīvo izmaksu monetārs novērtējums</w:t>
            </w:r>
          </w:p>
        </w:tc>
        <w:tc>
          <w:tcPr>
            <w:tcW w:w="6519" w:type="dxa"/>
            <w:gridSpan w:val="4"/>
            <w:tcBorders>
              <w:bottom w:val="single" w:sz="4" w:space="0" w:color="auto"/>
            </w:tcBorders>
            <w:shd w:val="clear" w:color="auto" w:fill="auto"/>
          </w:tcPr>
          <w:p w14:paraId="129195D2" w14:textId="6BDF25CF" w:rsidR="002041BA" w:rsidRPr="00841F77" w:rsidRDefault="00F710AF" w:rsidP="00BF41A7">
            <w:r w:rsidRPr="00F710AF">
              <w:t>Projekts šo jomu neskar.</w:t>
            </w:r>
          </w:p>
        </w:tc>
      </w:tr>
      <w:tr w:rsidR="002041BA" w:rsidRPr="00841F77" w14:paraId="273EDC63" w14:textId="77777777" w:rsidTr="000773AE">
        <w:trPr>
          <w:gridBefore w:val="1"/>
          <w:wBefore w:w="13" w:type="dxa"/>
        </w:trPr>
        <w:tc>
          <w:tcPr>
            <w:tcW w:w="427" w:type="dxa"/>
            <w:tcBorders>
              <w:bottom w:val="single" w:sz="4" w:space="0" w:color="auto"/>
            </w:tcBorders>
            <w:shd w:val="clear" w:color="auto" w:fill="auto"/>
          </w:tcPr>
          <w:p w14:paraId="46D1FFBD" w14:textId="77777777" w:rsidR="002041BA" w:rsidRPr="00841F77" w:rsidRDefault="002041BA" w:rsidP="00304B3E">
            <w:pPr>
              <w:pStyle w:val="naisnod"/>
              <w:jc w:val="left"/>
              <w:rPr>
                <w:b w:val="0"/>
              </w:rPr>
            </w:pPr>
            <w:r w:rsidRPr="00841F77">
              <w:rPr>
                <w:b w:val="0"/>
              </w:rPr>
              <w:t>4.</w:t>
            </w:r>
          </w:p>
        </w:tc>
        <w:tc>
          <w:tcPr>
            <w:tcW w:w="2410" w:type="dxa"/>
            <w:tcBorders>
              <w:bottom w:val="single" w:sz="4" w:space="0" w:color="auto"/>
            </w:tcBorders>
            <w:shd w:val="clear" w:color="auto" w:fill="auto"/>
          </w:tcPr>
          <w:p w14:paraId="014CE2AF" w14:textId="77777777" w:rsidR="002041BA" w:rsidRPr="00841F77" w:rsidRDefault="002041BA" w:rsidP="00304B3E">
            <w:pPr>
              <w:pStyle w:val="naisf"/>
              <w:ind w:left="350" w:hanging="180"/>
              <w:jc w:val="left"/>
            </w:pPr>
            <w:r>
              <w:t>Cita informācija</w:t>
            </w:r>
          </w:p>
        </w:tc>
        <w:tc>
          <w:tcPr>
            <w:tcW w:w="6519" w:type="dxa"/>
            <w:gridSpan w:val="4"/>
            <w:tcBorders>
              <w:bottom w:val="single" w:sz="4" w:space="0" w:color="auto"/>
            </w:tcBorders>
            <w:shd w:val="clear" w:color="auto" w:fill="auto"/>
          </w:tcPr>
          <w:p w14:paraId="7DA11210" w14:textId="77777777" w:rsidR="002041BA" w:rsidRPr="00841F77" w:rsidRDefault="002041BA" w:rsidP="00B764DF">
            <w:r>
              <w:rPr>
                <w:rFonts w:eastAsia="EUAlbertina_Bold"/>
              </w:rPr>
              <w:t>Nav</w:t>
            </w:r>
            <w:r w:rsidRPr="00841F77">
              <w:rPr>
                <w:rFonts w:eastAsia="EUAlbertina_Bold"/>
              </w:rPr>
              <w:t>.</w:t>
            </w:r>
          </w:p>
        </w:tc>
      </w:tr>
      <w:tr w:rsidR="00CD2C86" w:rsidRPr="00C022FC" w14:paraId="27D7C717" w14:textId="77777777" w:rsidTr="000773AE">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After w:val="1"/>
          <w:wAfter w:w="26" w:type="dxa"/>
          <w:trHeight w:val="420"/>
          <w:jc w:val="center"/>
        </w:trPr>
        <w:tc>
          <w:tcPr>
            <w:tcW w:w="9343" w:type="dxa"/>
            <w:gridSpan w:val="6"/>
            <w:tcBorders>
              <w:top w:val="outset" w:sz="6" w:space="0" w:color="414142"/>
              <w:left w:val="outset" w:sz="6" w:space="0" w:color="414142"/>
              <w:bottom w:val="outset" w:sz="6" w:space="0" w:color="414142"/>
              <w:right w:val="outset" w:sz="6" w:space="0" w:color="414142"/>
            </w:tcBorders>
            <w:vAlign w:val="center"/>
            <w:hideMark/>
          </w:tcPr>
          <w:p w14:paraId="3274045A" w14:textId="77777777" w:rsidR="00CD2C86" w:rsidRPr="00C022FC" w:rsidRDefault="00CD2C86" w:rsidP="0009503A">
            <w:pPr>
              <w:spacing w:before="100" w:beforeAutospacing="1" w:after="100" w:afterAutospacing="1" w:line="293" w:lineRule="atLeast"/>
              <w:jc w:val="center"/>
              <w:rPr>
                <w:b/>
                <w:bCs/>
                <w:lang w:eastAsia="lv-LV"/>
              </w:rPr>
            </w:pPr>
            <w:r w:rsidRPr="00C022FC">
              <w:rPr>
                <w:b/>
                <w:bCs/>
                <w:lang w:eastAsia="lv-LV"/>
              </w:rPr>
              <w:t>VI. Sabiedrības līdzdalība un komunikācijas aktivitātes</w:t>
            </w:r>
          </w:p>
        </w:tc>
      </w:tr>
      <w:tr w:rsidR="00CD2C86" w:rsidRPr="00C022FC" w14:paraId="36B71493" w14:textId="77777777" w:rsidTr="000773AE">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After w:val="1"/>
          <w:wAfter w:w="26" w:type="dxa"/>
          <w:trHeight w:val="540"/>
          <w:jc w:val="center"/>
        </w:trPr>
        <w:tc>
          <w:tcPr>
            <w:tcW w:w="440" w:type="dxa"/>
            <w:gridSpan w:val="2"/>
            <w:tcBorders>
              <w:top w:val="outset" w:sz="6" w:space="0" w:color="414142"/>
              <w:left w:val="outset" w:sz="6" w:space="0" w:color="414142"/>
              <w:bottom w:val="outset" w:sz="6" w:space="0" w:color="414142"/>
              <w:right w:val="outset" w:sz="6" w:space="0" w:color="414142"/>
            </w:tcBorders>
            <w:hideMark/>
          </w:tcPr>
          <w:p w14:paraId="1BFD8165" w14:textId="77777777" w:rsidR="00CD2C86" w:rsidRPr="00C022FC" w:rsidRDefault="00CD2C86" w:rsidP="0009503A">
            <w:pPr>
              <w:rPr>
                <w:lang w:eastAsia="lv-LV"/>
              </w:rPr>
            </w:pPr>
            <w:r w:rsidRPr="00C022FC">
              <w:rPr>
                <w:lang w:eastAsia="lv-LV"/>
              </w:rPr>
              <w:t>1.</w:t>
            </w:r>
          </w:p>
        </w:tc>
        <w:tc>
          <w:tcPr>
            <w:tcW w:w="2738" w:type="dxa"/>
            <w:gridSpan w:val="2"/>
            <w:tcBorders>
              <w:top w:val="outset" w:sz="6" w:space="0" w:color="414142"/>
              <w:left w:val="outset" w:sz="6" w:space="0" w:color="414142"/>
              <w:bottom w:val="outset" w:sz="6" w:space="0" w:color="414142"/>
              <w:right w:val="outset" w:sz="6" w:space="0" w:color="414142"/>
            </w:tcBorders>
            <w:hideMark/>
          </w:tcPr>
          <w:p w14:paraId="6759B078" w14:textId="77777777" w:rsidR="00CD2C86" w:rsidRPr="00C022FC" w:rsidRDefault="00CD2C86" w:rsidP="0009503A">
            <w:pPr>
              <w:rPr>
                <w:lang w:eastAsia="lv-LV"/>
              </w:rPr>
            </w:pPr>
            <w:r w:rsidRPr="00C022FC">
              <w:rPr>
                <w:lang w:eastAsia="lv-LV"/>
              </w:rPr>
              <w:t>Plānotās sabiedrības līdzdalības un komunikācijas aktivitātes saistībā ar projektu</w:t>
            </w:r>
          </w:p>
        </w:tc>
        <w:tc>
          <w:tcPr>
            <w:tcW w:w="6165" w:type="dxa"/>
            <w:gridSpan w:val="2"/>
            <w:tcBorders>
              <w:top w:val="outset" w:sz="6" w:space="0" w:color="414142"/>
              <w:left w:val="outset" w:sz="6" w:space="0" w:color="414142"/>
              <w:bottom w:val="outset" w:sz="6" w:space="0" w:color="414142"/>
              <w:right w:val="outset" w:sz="6" w:space="0" w:color="414142"/>
            </w:tcBorders>
            <w:hideMark/>
          </w:tcPr>
          <w:p w14:paraId="76D3CEF2" w14:textId="3BFD1D32" w:rsidR="00CD2C86" w:rsidRPr="00C022FC" w:rsidRDefault="003D512D" w:rsidP="003D512D">
            <w:pPr>
              <w:jc w:val="both"/>
              <w:rPr>
                <w:lang w:eastAsia="lv-LV"/>
              </w:rPr>
            </w:pPr>
            <w:r w:rsidRPr="003D512D">
              <w:t xml:space="preserve">Sabiedrības līdzdalība un turpmākās komunikācijas aktivitātes netiek plānotas, jo projekts neparedz </w:t>
            </w:r>
            <w:r>
              <w:t>būtiski mainīt</w:t>
            </w:r>
            <w:r w:rsidRPr="003D512D">
              <w:t xml:space="preserve"> esošo regulējumu vai ieviest jaunas politiskās iniciatīvas.</w:t>
            </w:r>
          </w:p>
        </w:tc>
      </w:tr>
      <w:tr w:rsidR="00CD2C86" w:rsidRPr="00C022FC" w14:paraId="32E0C217" w14:textId="77777777" w:rsidTr="000773AE">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After w:val="1"/>
          <w:wAfter w:w="26" w:type="dxa"/>
          <w:trHeight w:val="330"/>
          <w:jc w:val="center"/>
        </w:trPr>
        <w:tc>
          <w:tcPr>
            <w:tcW w:w="440" w:type="dxa"/>
            <w:gridSpan w:val="2"/>
            <w:tcBorders>
              <w:top w:val="outset" w:sz="6" w:space="0" w:color="414142"/>
              <w:left w:val="outset" w:sz="6" w:space="0" w:color="414142"/>
              <w:bottom w:val="outset" w:sz="6" w:space="0" w:color="414142"/>
              <w:right w:val="outset" w:sz="6" w:space="0" w:color="414142"/>
            </w:tcBorders>
            <w:hideMark/>
          </w:tcPr>
          <w:p w14:paraId="289D0C38" w14:textId="77777777" w:rsidR="00CD2C86" w:rsidRPr="00C022FC" w:rsidRDefault="00CD2C86" w:rsidP="0009503A">
            <w:pPr>
              <w:rPr>
                <w:lang w:eastAsia="lv-LV"/>
              </w:rPr>
            </w:pPr>
            <w:r w:rsidRPr="00C022FC">
              <w:rPr>
                <w:lang w:eastAsia="lv-LV"/>
              </w:rPr>
              <w:t>2.</w:t>
            </w:r>
          </w:p>
        </w:tc>
        <w:tc>
          <w:tcPr>
            <w:tcW w:w="2738" w:type="dxa"/>
            <w:gridSpan w:val="2"/>
            <w:tcBorders>
              <w:top w:val="outset" w:sz="6" w:space="0" w:color="414142"/>
              <w:left w:val="outset" w:sz="6" w:space="0" w:color="414142"/>
              <w:bottom w:val="outset" w:sz="6" w:space="0" w:color="414142"/>
              <w:right w:val="outset" w:sz="6" w:space="0" w:color="414142"/>
            </w:tcBorders>
            <w:hideMark/>
          </w:tcPr>
          <w:p w14:paraId="2BEA7864" w14:textId="77777777" w:rsidR="00CD2C86" w:rsidRPr="00C022FC" w:rsidRDefault="00CD2C86" w:rsidP="0009503A">
            <w:pPr>
              <w:rPr>
                <w:lang w:eastAsia="lv-LV"/>
              </w:rPr>
            </w:pPr>
            <w:r w:rsidRPr="00C022FC">
              <w:rPr>
                <w:lang w:eastAsia="lv-LV"/>
              </w:rPr>
              <w:t>Sabiedrības līdzdalība projekta izstrādē</w:t>
            </w:r>
          </w:p>
        </w:tc>
        <w:tc>
          <w:tcPr>
            <w:tcW w:w="6165" w:type="dxa"/>
            <w:gridSpan w:val="2"/>
            <w:tcBorders>
              <w:top w:val="outset" w:sz="6" w:space="0" w:color="414142"/>
              <w:left w:val="outset" w:sz="6" w:space="0" w:color="414142"/>
              <w:bottom w:val="outset" w:sz="6" w:space="0" w:color="414142"/>
              <w:right w:val="outset" w:sz="6" w:space="0" w:color="414142"/>
            </w:tcBorders>
            <w:hideMark/>
          </w:tcPr>
          <w:p w14:paraId="5D196912" w14:textId="386E6EC9" w:rsidR="00CD2C86" w:rsidRPr="00C022FC" w:rsidRDefault="00B77676" w:rsidP="00B77676">
            <w:pPr>
              <w:ind w:right="92"/>
              <w:jc w:val="both"/>
              <w:rPr>
                <w:lang w:eastAsia="lv-LV"/>
              </w:rPr>
            </w:pPr>
            <w:r>
              <w:t>Projekts elektroniski saskaņots ar Latvijas A</w:t>
            </w:r>
            <w:r w:rsidRPr="00B77676">
              <w:t>p</w:t>
            </w:r>
            <w:r>
              <w:t>vienoto policistu arodbiedrību</w:t>
            </w:r>
            <w:r w:rsidRPr="00B77676">
              <w:t>, Neatkarīg</w:t>
            </w:r>
            <w:r>
              <w:t>o policistu arodbiedrību</w:t>
            </w:r>
            <w:r w:rsidRPr="00B77676">
              <w:t xml:space="preserve">, </w:t>
            </w:r>
            <w:r>
              <w:t>Latvijas policistu arodbiedrību</w:t>
            </w:r>
            <w:r w:rsidRPr="00B77676">
              <w:t>, arodbiedrīb</w:t>
            </w:r>
            <w:r>
              <w:t>u</w:t>
            </w:r>
            <w:r w:rsidRPr="00B77676">
              <w:t xml:space="preserve"> LABA </w:t>
            </w:r>
            <w:r>
              <w:t>Drošība, Latvijas I</w:t>
            </w:r>
            <w:r w:rsidRPr="00B77676">
              <w:t>ek</w:t>
            </w:r>
            <w:r>
              <w:t>šlietu darbinieku arodbiedrību un</w:t>
            </w:r>
            <w:r w:rsidRPr="00B77676">
              <w:t xml:space="preserve"> Latvijas Brīvo arodbiedrību savienīb</w:t>
            </w:r>
            <w:r>
              <w:t>u.</w:t>
            </w:r>
          </w:p>
        </w:tc>
      </w:tr>
      <w:tr w:rsidR="00CD2C86" w:rsidRPr="00C022FC" w14:paraId="4BDEC140" w14:textId="77777777" w:rsidTr="000773AE">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After w:val="1"/>
          <w:wAfter w:w="26" w:type="dxa"/>
          <w:trHeight w:val="465"/>
          <w:jc w:val="center"/>
        </w:trPr>
        <w:tc>
          <w:tcPr>
            <w:tcW w:w="440" w:type="dxa"/>
            <w:gridSpan w:val="2"/>
            <w:tcBorders>
              <w:top w:val="outset" w:sz="6" w:space="0" w:color="414142"/>
              <w:left w:val="outset" w:sz="6" w:space="0" w:color="414142"/>
              <w:bottom w:val="outset" w:sz="6" w:space="0" w:color="414142"/>
              <w:right w:val="outset" w:sz="6" w:space="0" w:color="414142"/>
            </w:tcBorders>
            <w:hideMark/>
          </w:tcPr>
          <w:p w14:paraId="7382AB11" w14:textId="77777777" w:rsidR="00CD2C86" w:rsidRPr="00C022FC" w:rsidRDefault="00CD2C86" w:rsidP="0009503A">
            <w:pPr>
              <w:rPr>
                <w:lang w:eastAsia="lv-LV"/>
              </w:rPr>
            </w:pPr>
            <w:r w:rsidRPr="00C022FC">
              <w:rPr>
                <w:lang w:eastAsia="lv-LV"/>
              </w:rPr>
              <w:t>3.</w:t>
            </w:r>
          </w:p>
        </w:tc>
        <w:tc>
          <w:tcPr>
            <w:tcW w:w="2738" w:type="dxa"/>
            <w:gridSpan w:val="2"/>
            <w:tcBorders>
              <w:top w:val="outset" w:sz="6" w:space="0" w:color="414142"/>
              <w:left w:val="outset" w:sz="6" w:space="0" w:color="414142"/>
              <w:bottom w:val="outset" w:sz="6" w:space="0" w:color="414142"/>
              <w:right w:val="outset" w:sz="6" w:space="0" w:color="414142"/>
            </w:tcBorders>
            <w:hideMark/>
          </w:tcPr>
          <w:p w14:paraId="76E9ACA6" w14:textId="77777777" w:rsidR="00CD2C86" w:rsidRPr="00C022FC" w:rsidRDefault="00CD2C86" w:rsidP="0009503A">
            <w:pPr>
              <w:rPr>
                <w:lang w:eastAsia="lv-LV"/>
              </w:rPr>
            </w:pPr>
            <w:r w:rsidRPr="00C022FC">
              <w:rPr>
                <w:lang w:eastAsia="lv-LV"/>
              </w:rPr>
              <w:t>Sabiedrības līdzdalības rezultāti</w:t>
            </w:r>
          </w:p>
        </w:tc>
        <w:tc>
          <w:tcPr>
            <w:tcW w:w="6165" w:type="dxa"/>
            <w:gridSpan w:val="2"/>
            <w:tcBorders>
              <w:top w:val="outset" w:sz="6" w:space="0" w:color="414142"/>
              <w:left w:val="outset" w:sz="6" w:space="0" w:color="414142"/>
              <w:bottom w:val="outset" w:sz="6" w:space="0" w:color="414142"/>
              <w:right w:val="outset" w:sz="6" w:space="0" w:color="414142"/>
            </w:tcBorders>
            <w:hideMark/>
          </w:tcPr>
          <w:p w14:paraId="7D9157B5" w14:textId="5622493D" w:rsidR="00CD2C86" w:rsidRPr="00C022FC" w:rsidRDefault="00B77676" w:rsidP="0009503A">
            <w:pPr>
              <w:rPr>
                <w:lang w:eastAsia="lv-LV"/>
              </w:rPr>
            </w:pPr>
            <w:r>
              <w:t>Iebildumi</w:t>
            </w:r>
            <w:r w:rsidR="003D512D">
              <w:t xml:space="preserve"> un priekšlikumi netika s</w:t>
            </w:r>
            <w:bookmarkStart w:id="0" w:name="_GoBack"/>
            <w:bookmarkEnd w:id="0"/>
            <w:r w:rsidR="003D512D">
              <w:t>aņemti.</w:t>
            </w:r>
          </w:p>
        </w:tc>
      </w:tr>
      <w:tr w:rsidR="00CD2C86" w:rsidRPr="00C022FC" w14:paraId="2F967EEB" w14:textId="77777777" w:rsidTr="000773AE">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After w:val="1"/>
          <w:wAfter w:w="26" w:type="dxa"/>
          <w:trHeight w:val="465"/>
          <w:jc w:val="center"/>
        </w:trPr>
        <w:tc>
          <w:tcPr>
            <w:tcW w:w="440" w:type="dxa"/>
            <w:gridSpan w:val="2"/>
            <w:tcBorders>
              <w:top w:val="outset" w:sz="6" w:space="0" w:color="414142"/>
              <w:left w:val="outset" w:sz="6" w:space="0" w:color="414142"/>
              <w:bottom w:val="single" w:sz="4" w:space="0" w:color="auto"/>
              <w:right w:val="outset" w:sz="6" w:space="0" w:color="414142"/>
            </w:tcBorders>
            <w:hideMark/>
          </w:tcPr>
          <w:p w14:paraId="3BA88FE3" w14:textId="77777777" w:rsidR="00CD2C86" w:rsidRPr="00C022FC" w:rsidRDefault="00CD2C86" w:rsidP="0009503A">
            <w:pPr>
              <w:rPr>
                <w:lang w:eastAsia="lv-LV"/>
              </w:rPr>
            </w:pPr>
            <w:r w:rsidRPr="00C022FC">
              <w:rPr>
                <w:lang w:eastAsia="lv-LV"/>
              </w:rPr>
              <w:t>4.</w:t>
            </w:r>
          </w:p>
        </w:tc>
        <w:tc>
          <w:tcPr>
            <w:tcW w:w="2738" w:type="dxa"/>
            <w:gridSpan w:val="2"/>
            <w:tcBorders>
              <w:top w:val="outset" w:sz="6" w:space="0" w:color="414142"/>
              <w:left w:val="outset" w:sz="6" w:space="0" w:color="414142"/>
              <w:bottom w:val="single" w:sz="4" w:space="0" w:color="auto"/>
              <w:right w:val="outset" w:sz="6" w:space="0" w:color="414142"/>
            </w:tcBorders>
            <w:hideMark/>
          </w:tcPr>
          <w:p w14:paraId="4CA4D6EC" w14:textId="77777777" w:rsidR="00CD2C86" w:rsidRPr="00C022FC" w:rsidRDefault="00CD2C86" w:rsidP="0009503A">
            <w:pPr>
              <w:rPr>
                <w:lang w:eastAsia="lv-LV"/>
              </w:rPr>
            </w:pPr>
            <w:r w:rsidRPr="00C022FC">
              <w:rPr>
                <w:lang w:eastAsia="lv-LV"/>
              </w:rPr>
              <w:t>Cita informācija</w:t>
            </w:r>
          </w:p>
        </w:tc>
        <w:tc>
          <w:tcPr>
            <w:tcW w:w="6165" w:type="dxa"/>
            <w:gridSpan w:val="2"/>
            <w:tcBorders>
              <w:top w:val="outset" w:sz="6" w:space="0" w:color="414142"/>
              <w:left w:val="outset" w:sz="6" w:space="0" w:color="414142"/>
              <w:bottom w:val="single" w:sz="4" w:space="0" w:color="auto"/>
              <w:right w:val="outset" w:sz="6" w:space="0" w:color="414142"/>
            </w:tcBorders>
            <w:hideMark/>
          </w:tcPr>
          <w:p w14:paraId="6AD6054E" w14:textId="77777777" w:rsidR="00CD2C86" w:rsidRPr="00C022FC" w:rsidRDefault="00CD2C86" w:rsidP="0009503A">
            <w:pPr>
              <w:spacing w:before="100" w:beforeAutospacing="1" w:after="100" w:afterAutospacing="1" w:line="293" w:lineRule="atLeast"/>
              <w:rPr>
                <w:lang w:eastAsia="lv-LV"/>
              </w:rPr>
            </w:pPr>
            <w:r w:rsidRPr="00C022FC">
              <w:rPr>
                <w:lang w:eastAsia="lv-LV"/>
              </w:rPr>
              <w:t>Nav</w:t>
            </w:r>
          </w:p>
        </w:tc>
      </w:tr>
      <w:tr w:rsidR="009821BB" w:rsidRPr="00841F77" w14:paraId="79842C23" w14:textId="77777777" w:rsidTr="000773AE">
        <w:trPr>
          <w:gridBefore w:val="1"/>
          <w:wBefore w:w="13" w:type="dxa"/>
        </w:trPr>
        <w:tc>
          <w:tcPr>
            <w:tcW w:w="9356" w:type="dxa"/>
            <w:gridSpan w:val="6"/>
            <w:shd w:val="clear" w:color="auto" w:fill="auto"/>
          </w:tcPr>
          <w:p w14:paraId="0E554D53" w14:textId="77777777" w:rsidR="009821BB" w:rsidRPr="00841F77" w:rsidRDefault="009821BB" w:rsidP="00A53AA3">
            <w:pPr>
              <w:pStyle w:val="naisf"/>
              <w:spacing w:before="0" w:after="0"/>
              <w:ind w:firstLine="0"/>
              <w:jc w:val="center"/>
              <w:rPr>
                <w:b/>
              </w:rPr>
            </w:pPr>
            <w:r w:rsidRPr="00841F77">
              <w:rPr>
                <w:b/>
              </w:rPr>
              <w:t>VII</w:t>
            </w:r>
            <w:r>
              <w:rPr>
                <w:b/>
              </w:rPr>
              <w:t>.</w:t>
            </w:r>
            <w:r w:rsidRPr="00841F77">
              <w:rPr>
                <w:b/>
              </w:rPr>
              <w:t xml:space="preserve"> </w:t>
            </w:r>
            <w:r w:rsidRPr="00754739">
              <w:rPr>
                <w:b/>
                <w:bCs/>
              </w:rPr>
              <w:t>Tiesību akta projekta izpildes nodrošināšana un tās ietekme uz institūcijām</w:t>
            </w:r>
          </w:p>
        </w:tc>
      </w:tr>
      <w:tr w:rsidR="009821BB" w:rsidRPr="00841F77" w14:paraId="43A90469" w14:textId="77777777" w:rsidTr="000773AE">
        <w:trPr>
          <w:gridBefore w:val="1"/>
          <w:wBefore w:w="13" w:type="dxa"/>
        </w:trPr>
        <w:tc>
          <w:tcPr>
            <w:tcW w:w="427" w:type="dxa"/>
            <w:shd w:val="clear" w:color="auto" w:fill="auto"/>
          </w:tcPr>
          <w:p w14:paraId="5E9E2363" w14:textId="77777777" w:rsidR="009821BB" w:rsidRPr="00841F77" w:rsidRDefault="009821BB" w:rsidP="00304B3E">
            <w:pPr>
              <w:pStyle w:val="naisnod"/>
              <w:ind w:left="180" w:hanging="180"/>
              <w:jc w:val="left"/>
              <w:rPr>
                <w:b w:val="0"/>
              </w:rPr>
            </w:pPr>
            <w:r w:rsidRPr="00841F77">
              <w:rPr>
                <w:b w:val="0"/>
              </w:rPr>
              <w:t>1.</w:t>
            </w:r>
          </w:p>
        </w:tc>
        <w:tc>
          <w:tcPr>
            <w:tcW w:w="3119" w:type="dxa"/>
            <w:gridSpan w:val="3"/>
            <w:shd w:val="clear" w:color="auto" w:fill="auto"/>
          </w:tcPr>
          <w:p w14:paraId="73C083B9" w14:textId="77777777" w:rsidR="009821BB" w:rsidRPr="00841F77" w:rsidRDefault="009821BB" w:rsidP="00304B3E">
            <w:pPr>
              <w:pStyle w:val="naisf"/>
              <w:ind w:left="170" w:firstLine="0"/>
              <w:jc w:val="left"/>
            </w:pPr>
            <w:r w:rsidRPr="00841F77">
              <w:t xml:space="preserve">Projekta izpildē iesaistītās institūcijas </w:t>
            </w:r>
          </w:p>
        </w:tc>
        <w:tc>
          <w:tcPr>
            <w:tcW w:w="5810" w:type="dxa"/>
            <w:gridSpan w:val="2"/>
            <w:shd w:val="clear" w:color="auto" w:fill="auto"/>
            <w:vAlign w:val="center"/>
          </w:tcPr>
          <w:p w14:paraId="3B8A4C97" w14:textId="59EFCE4D" w:rsidR="009821BB" w:rsidRPr="00841F77" w:rsidRDefault="0072034B" w:rsidP="0013386A">
            <w:pPr>
              <w:pStyle w:val="naisnod"/>
              <w:jc w:val="both"/>
              <w:rPr>
                <w:b w:val="0"/>
              </w:rPr>
            </w:pPr>
            <w:r>
              <w:rPr>
                <w:b w:val="0"/>
              </w:rPr>
              <w:t>Iekšlietu ministrijas sistēmas iestādes un Ieslodzījuma vietu pārvalde</w:t>
            </w:r>
            <w:r w:rsidR="009821BB">
              <w:rPr>
                <w:b w:val="0"/>
              </w:rPr>
              <w:t>.</w:t>
            </w:r>
          </w:p>
        </w:tc>
      </w:tr>
      <w:tr w:rsidR="009821BB" w:rsidRPr="00841F77" w14:paraId="73742DFB" w14:textId="77777777" w:rsidTr="000773AE">
        <w:trPr>
          <w:gridBefore w:val="1"/>
          <w:wBefore w:w="13" w:type="dxa"/>
        </w:trPr>
        <w:tc>
          <w:tcPr>
            <w:tcW w:w="427" w:type="dxa"/>
            <w:shd w:val="clear" w:color="auto" w:fill="auto"/>
          </w:tcPr>
          <w:p w14:paraId="461B1BE4" w14:textId="77777777" w:rsidR="009821BB" w:rsidRPr="00841F77" w:rsidRDefault="009821BB" w:rsidP="00304B3E">
            <w:pPr>
              <w:pStyle w:val="naisnod"/>
              <w:jc w:val="left"/>
              <w:rPr>
                <w:b w:val="0"/>
              </w:rPr>
            </w:pPr>
            <w:r w:rsidRPr="00841F77">
              <w:rPr>
                <w:b w:val="0"/>
              </w:rPr>
              <w:t>2.</w:t>
            </w:r>
          </w:p>
        </w:tc>
        <w:tc>
          <w:tcPr>
            <w:tcW w:w="3119" w:type="dxa"/>
            <w:gridSpan w:val="3"/>
            <w:shd w:val="clear" w:color="auto" w:fill="auto"/>
          </w:tcPr>
          <w:p w14:paraId="1909DB50" w14:textId="77777777" w:rsidR="009821BB" w:rsidRPr="00841F77" w:rsidRDefault="009821BB" w:rsidP="00304B3E">
            <w:pPr>
              <w:pStyle w:val="naisf"/>
              <w:ind w:left="170" w:firstLine="0"/>
              <w:jc w:val="left"/>
            </w:pPr>
            <w:r w:rsidRPr="00754739">
              <w:t>Projekta izpildes ietekme uz pārvaldes funkcijām</w:t>
            </w:r>
            <w:r>
              <w:t xml:space="preserve"> un </w:t>
            </w:r>
            <w:r w:rsidRPr="00754739">
              <w:t>institucionālo struktūru.</w:t>
            </w:r>
            <w:r w:rsidRPr="00841F77">
              <w:t xml:space="preserve"> </w:t>
            </w:r>
          </w:p>
        </w:tc>
        <w:tc>
          <w:tcPr>
            <w:tcW w:w="5810" w:type="dxa"/>
            <w:gridSpan w:val="2"/>
            <w:shd w:val="clear" w:color="auto" w:fill="auto"/>
            <w:vAlign w:val="center"/>
          </w:tcPr>
          <w:p w14:paraId="2A2F4B9A" w14:textId="77777777" w:rsidR="009821BB" w:rsidRPr="00841F77" w:rsidRDefault="009821BB" w:rsidP="00A53AA3">
            <w:pPr>
              <w:pStyle w:val="naisnod"/>
              <w:jc w:val="left"/>
              <w:rPr>
                <w:b w:val="0"/>
              </w:rPr>
            </w:pPr>
            <w:r w:rsidRPr="00841F77">
              <w:rPr>
                <w:rFonts w:eastAsia="EUAlbertina_Bold"/>
                <w:b w:val="0"/>
              </w:rPr>
              <w:t>Projekts šo jomu neskar.</w:t>
            </w:r>
          </w:p>
        </w:tc>
      </w:tr>
      <w:tr w:rsidR="009821BB" w:rsidRPr="00841F77" w14:paraId="3C6C07A2" w14:textId="77777777" w:rsidTr="000773AE">
        <w:trPr>
          <w:gridBefore w:val="1"/>
          <w:wBefore w:w="13" w:type="dxa"/>
        </w:trPr>
        <w:tc>
          <w:tcPr>
            <w:tcW w:w="427" w:type="dxa"/>
            <w:shd w:val="clear" w:color="auto" w:fill="auto"/>
          </w:tcPr>
          <w:p w14:paraId="4B14EA9F" w14:textId="77777777" w:rsidR="009821BB" w:rsidRPr="00841F77" w:rsidRDefault="009821BB" w:rsidP="00304B3E">
            <w:pPr>
              <w:pStyle w:val="naisnod"/>
              <w:jc w:val="left"/>
              <w:rPr>
                <w:b w:val="0"/>
              </w:rPr>
            </w:pPr>
            <w:r w:rsidRPr="00841F77">
              <w:rPr>
                <w:b w:val="0"/>
              </w:rPr>
              <w:t>3.</w:t>
            </w:r>
          </w:p>
        </w:tc>
        <w:tc>
          <w:tcPr>
            <w:tcW w:w="3119" w:type="dxa"/>
            <w:gridSpan w:val="3"/>
            <w:shd w:val="clear" w:color="auto" w:fill="auto"/>
          </w:tcPr>
          <w:p w14:paraId="7C79BA16" w14:textId="65909DEC" w:rsidR="009821BB" w:rsidRPr="00841F77" w:rsidRDefault="009821BB" w:rsidP="00304B3E">
            <w:pPr>
              <w:pStyle w:val="naisf"/>
              <w:ind w:left="175" w:firstLine="0"/>
              <w:jc w:val="left"/>
            </w:pPr>
            <w:r w:rsidRPr="00754739">
              <w:t>Jaunu institūciju izveide</w:t>
            </w:r>
            <w:r>
              <w:t>,</w:t>
            </w:r>
            <w:r w:rsidRPr="00754739">
              <w:t xml:space="preserve"> </w:t>
            </w:r>
            <w:r>
              <w:t>e</w:t>
            </w:r>
            <w:r w:rsidRPr="00754739">
              <w:t>sošu institūciju</w:t>
            </w:r>
            <w:r w:rsidR="0092201B">
              <w:t xml:space="preserve"> </w:t>
            </w:r>
            <w:r w:rsidRPr="00754739">
              <w:t>likvidācija</w:t>
            </w:r>
            <w:r>
              <w:t xml:space="preserve"> vai</w:t>
            </w:r>
            <w:r w:rsidRPr="00754739">
              <w:t xml:space="preserve"> reorganizācija</w:t>
            </w:r>
            <w:r>
              <w:t>, to ietekme uz institūcijas cilvēkresursiem</w:t>
            </w:r>
          </w:p>
        </w:tc>
        <w:tc>
          <w:tcPr>
            <w:tcW w:w="5810" w:type="dxa"/>
            <w:gridSpan w:val="2"/>
            <w:shd w:val="clear" w:color="auto" w:fill="auto"/>
          </w:tcPr>
          <w:p w14:paraId="64E4E682" w14:textId="3C471C1F" w:rsidR="009821BB" w:rsidRPr="00841F77" w:rsidRDefault="009821BB" w:rsidP="0062002D">
            <w:r w:rsidRPr="00841F77">
              <w:rPr>
                <w:rFonts w:eastAsia="EUAlbertina_Bold"/>
              </w:rPr>
              <w:t xml:space="preserve">Projekts </w:t>
            </w:r>
            <w:r w:rsidR="0062002D">
              <w:rPr>
                <w:rFonts w:eastAsia="EUAlbertina_Bold"/>
              </w:rPr>
              <w:t>neparedz jaunu institūciju izveidi, esošo institūciju likvidāciju vai reorganizāciju. Darba slodzes palielinājums uz institūcijas resursiem plānots minimāls.</w:t>
            </w:r>
          </w:p>
        </w:tc>
      </w:tr>
      <w:tr w:rsidR="009821BB" w:rsidRPr="00841F77" w14:paraId="01FF12A7" w14:textId="77777777" w:rsidTr="000773AE">
        <w:trPr>
          <w:gridBefore w:val="1"/>
          <w:wBefore w:w="13" w:type="dxa"/>
        </w:trPr>
        <w:tc>
          <w:tcPr>
            <w:tcW w:w="427" w:type="dxa"/>
            <w:shd w:val="clear" w:color="auto" w:fill="auto"/>
          </w:tcPr>
          <w:p w14:paraId="176D95BD" w14:textId="77777777" w:rsidR="009821BB" w:rsidRPr="00841F77" w:rsidRDefault="009821BB" w:rsidP="00304B3E">
            <w:pPr>
              <w:pStyle w:val="naisnod"/>
              <w:jc w:val="left"/>
              <w:rPr>
                <w:b w:val="0"/>
              </w:rPr>
            </w:pPr>
            <w:r w:rsidRPr="00841F77">
              <w:rPr>
                <w:b w:val="0"/>
              </w:rPr>
              <w:t>4.</w:t>
            </w:r>
          </w:p>
        </w:tc>
        <w:tc>
          <w:tcPr>
            <w:tcW w:w="3119" w:type="dxa"/>
            <w:gridSpan w:val="3"/>
            <w:shd w:val="clear" w:color="auto" w:fill="auto"/>
          </w:tcPr>
          <w:p w14:paraId="62163CDD" w14:textId="77777777" w:rsidR="009821BB" w:rsidRPr="00841F77" w:rsidRDefault="009821BB" w:rsidP="00304B3E">
            <w:pPr>
              <w:pStyle w:val="naisf"/>
              <w:ind w:left="350" w:hanging="180"/>
              <w:jc w:val="left"/>
            </w:pPr>
            <w:r>
              <w:t>Cita informācija</w:t>
            </w:r>
          </w:p>
        </w:tc>
        <w:tc>
          <w:tcPr>
            <w:tcW w:w="5810" w:type="dxa"/>
            <w:gridSpan w:val="2"/>
            <w:shd w:val="clear" w:color="auto" w:fill="auto"/>
          </w:tcPr>
          <w:p w14:paraId="0A29D5E3" w14:textId="77777777" w:rsidR="009821BB" w:rsidRPr="00841F77" w:rsidRDefault="009821BB" w:rsidP="00A53AA3">
            <w:r>
              <w:rPr>
                <w:rFonts w:eastAsia="EUAlbertina_Bold"/>
              </w:rPr>
              <w:t>Nav</w:t>
            </w:r>
            <w:r w:rsidRPr="00841F77">
              <w:rPr>
                <w:rFonts w:eastAsia="EUAlbertina_Bold"/>
              </w:rPr>
              <w:t>.</w:t>
            </w:r>
          </w:p>
        </w:tc>
      </w:tr>
    </w:tbl>
    <w:p w14:paraId="195E2A60" w14:textId="77777777" w:rsidR="005F5255" w:rsidRDefault="005F5255" w:rsidP="009320A4">
      <w:pPr>
        <w:pStyle w:val="naisf"/>
        <w:rPr>
          <w:i/>
        </w:rPr>
      </w:pPr>
    </w:p>
    <w:p w14:paraId="4C8C51AF" w14:textId="77777777" w:rsidR="005F5255" w:rsidRDefault="005F5255" w:rsidP="009320A4">
      <w:pPr>
        <w:pStyle w:val="naisf"/>
        <w:rPr>
          <w:i/>
        </w:rPr>
      </w:pPr>
    </w:p>
    <w:p w14:paraId="3E2671E1" w14:textId="77777777" w:rsidR="005F5255" w:rsidRDefault="005F5255" w:rsidP="009320A4">
      <w:pPr>
        <w:pStyle w:val="naisf"/>
        <w:rPr>
          <w:i/>
        </w:rPr>
      </w:pPr>
    </w:p>
    <w:p w14:paraId="5E3D5048" w14:textId="14F8AA0E" w:rsidR="00EB05D5" w:rsidRPr="00841F77" w:rsidRDefault="00E0686D" w:rsidP="009320A4">
      <w:pPr>
        <w:pStyle w:val="naisf"/>
        <w:rPr>
          <w:i/>
        </w:rPr>
      </w:pPr>
      <w:r w:rsidRPr="00841F77">
        <w:rPr>
          <w:i/>
        </w:rPr>
        <w:lastRenderedPageBreak/>
        <w:t>Anotācijas</w:t>
      </w:r>
      <w:r w:rsidR="00CC2D1B" w:rsidRPr="00841F77">
        <w:rPr>
          <w:i/>
        </w:rPr>
        <w:t xml:space="preserve"> </w:t>
      </w:r>
      <w:r w:rsidR="0072034B">
        <w:rPr>
          <w:i/>
        </w:rPr>
        <w:t>II</w:t>
      </w:r>
      <w:r w:rsidR="00304B3E">
        <w:rPr>
          <w:i/>
        </w:rPr>
        <w:t>I</w:t>
      </w:r>
      <w:r w:rsidR="0072034B">
        <w:rPr>
          <w:i/>
        </w:rPr>
        <w:t xml:space="preserve">, </w:t>
      </w:r>
      <w:r w:rsidR="00CC2D1B" w:rsidRPr="00841F77">
        <w:rPr>
          <w:i/>
        </w:rPr>
        <w:t xml:space="preserve">IV, </w:t>
      </w:r>
      <w:r w:rsidR="00CD2C86">
        <w:rPr>
          <w:i/>
        </w:rPr>
        <w:t xml:space="preserve">un </w:t>
      </w:r>
      <w:r w:rsidR="00FB6C38" w:rsidRPr="00841F77">
        <w:rPr>
          <w:i/>
        </w:rPr>
        <w:t xml:space="preserve"> V </w:t>
      </w:r>
      <w:r w:rsidRPr="00841F77">
        <w:rPr>
          <w:i/>
        </w:rPr>
        <w:t xml:space="preserve">sadaļa </w:t>
      </w:r>
      <w:r w:rsidR="00FB6C38" w:rsidRPr="00841F77">
        <w:rPr>
          <w:i/>
        </w:rPr>
        <w:t xml:space="preserve">– </w:t>
      </w:r>
      <w:r w:rsidRPr="00841F77">
        <w:rPr>
          <w:i/>
        </w:rPr>
        <w:t>projekts šīs jomas neskar</w:t>
      </w:r>
      <w:r w:rsidR="00FB6C38" w:rsidRPr="00841F77">
        <w:rPr>
          <w:i/>
        </w:rPr>
        <w:t>.</w:t>
      </w:r>
    </w:p>
    <w:p w14:paraId="713DC646" w14:textId="77777777" w:rsidR="003675ED" w:rsidRPr="00841F77" w:rsidRDefault="003675ED" w:rsidP="009320A4">
      <w:pPr>
        <w:pStyle w:val="naisf"/>
      </w:pPr>
    </w:p>
    <w:p w14:paraId="69EC6FC0" w14:textId="77777777" w:rsidR="00EB05D5" w:rsidRPr="00841F77" w:rsidRDefault="00FB6C38" w:rsidP="009320A4">
      <w:pPr>
        <w:pStyle w:val="naisf"/>
      </w:pPr>
      <w:r w:rsidRPr="00841F77">
        <w:t>Iekšlietu ministrs</w:t>
      </w:r>
      <w:r w:rsidRPr="00841F77">
        <w:tab/>
      </w:r>
      <w:r w:rsidRPr="00841F77">
        <w:tab/>
      </w:r>
      <w:r w:rsidRPr="00841F77">
        <w:tab/>
      </w:r>
      <w:r w:rsidRPr="00841F77">
        <w:tab/>
      </w:r>
      <w:r w:rsidRPr="00841F77">
        <w:tab/>
      </w:r>
      <w:r w:rsidRPr="00841F77">
        <w:tab/>
      </w:r>
      <w:r w:rsidRPr="00841F77">
        <w:tab/>
      </w:r>
      <w:r w:rsidR="00EB05D5" w:rsidRPr="00841F77">
        <w:t>R.Kozlovskis</w:t>
      </w:r>
      <w:r w:rsidR="00EB05D5" w:rsidRPr="00841F77">
        <w:tab/>
      </w:r>
      <w:r w:rsidR="00EB05D5" w:rsidRPr="00841F77">
        <w:tab/>
      </w:r>
    </w:p>
    <w:p w14:paraId="2E881090" w14:textId="77777777" w:rsidR="00EB05D5" w:rsidRPr="00841F77" w:rsidRDefault="00EB05D5" w:rsidP="00FB6C38">
      <w:pPr>
        <w:pStyle w:val="naisf"/>
        <w:tabs>
          <w:tab w:val="left" w:pos="540"/>
        </w:tabs>
        <w:ind w:left="375" w:firstLine="0"/>
      </w:pPr>
    </w:p>
    <w:p w14:paraId="34F028CC" w14:textId="4282208F" w:rsidR="00FB6C38" w:rsidRPr="00841F77" w:rsidRDefault="00FB6C38" w:rsidP="009320A4">
      <w:pPr>
        <w:pStyle w:val="naisf"/>
        <w:tabs>
          <w:tab w:val="left" w:pos="540"/>
        </w:tabs>
        <w:ind w:left="375" w:firstLine="0"/>
      </w:pPr>
      <w:r w:rsidRPr="00841F77">
        <w:t>Vīza: valsts sekretāre</w:t>
      </w:r>
      <w:r w:rsidRPr="00841F77">
        <w:tab/>
      </w:r>
      <w:r w:rsidRPr="00841F77">
        <w:tab/>
      </w:r>
      <w:r w:rsidRPr="00841F77">
        <w:tab/>
      </w:r>
      <w:r w:rsidRPr="00841F77">
        <w:tab/>
      </w:r>
      <w:r w:rsidRPr="00841F77">
        <w:tab/>
      </w:r>
      <w:r w:rsidRPr="00841F77">
        <w:tab/>
        <w:t>I.Pētersone</w:t>
      </w:r>
      <w:r w:rsidR="00950466">
        <w:t>–</w:t>
      </w:r>
      <w:r w:rsidRPr="00841F77">
        <w:t>Godmane</w:t>
      </w:r>
    </w:p>
    <w:p w14:paraId="2BF600AA" w14:textId="02195CDC" w:rsidR="00A52A52" w:rsidRPr="00A52A52" w:rsidRDefault="005F5255" w:rsidP="00A52A52">
      <w:pPr>
        <w:ind w:right="-7"/>
        <w:rPr>
          <w:color w:val="000000"/>
          <w:sz w:val="22"/>
          <w:szCs w:val="22"/>
        </w:rPr>
      </w:pPr>
      <w:r>
        <w:rPr>
          <w:color w:val="000000"/>
          <w:sz w:val="22"/>
          <w:szCs w:val="22"/>
        </w:rPr>
        <w:t>01</w:t>
      </w:r>
      <w:r w:rsidR="00C67B58">
        <w:rPr>
          <w:color w:val="000000"/>
          <w:sz w:val="22"/>
          <w:szCs w:val="22"/>
        </w:rPr>
        <w:t>.</w:t>
      </w:r>
      <w:r>
        <w:rPr>
          <w:color w:val="000000"/>
          <w:sz w:val="22"/>
          <w:szCs w:val="22"/>
        </w:rPr>
        <w:t>02</w:t>
      </w:r>
      <w:r w:rsidR="00A52A52" w:rsidRPr="00A52A52">
        <w:rPr>
          <w:color w:val="000000"/>
          <w:sz w:val="22"/>
          <w:szCs w:val="22"/>
        </w:rPr>
        <w:t>.</w:t>
      </w:r>
      <w:r w:rsidRPr="00A52A52">
        <w:rPr>
          <w:color w:val="000000"/>
          <w:sz w:val="22"/>
          <w:szCs w:val="22"/>
        </w:rPr>
        <w:t>201</w:t>
      </w:r>
      <w:r>
        <w:rPr>
          <w:color w:val="000000"/>
          <w:sz w:val="22"/>
          <w:szCs w:val="22"/>
        </w:rPr>
        <w:t>6</w:t>
      </w:r>
      <w:r w:rsidR="00A52A52" w:rsidRPr="00A52A52">
        <w:rPr>
          <w:color w:val="000000"/>
          <w:sz w:val="22"/>
          <w:szCs w:val="22"/>
        </w:rPr>
        <w:t xml:space="preserve">. </w:t>
      </w:r>
      <w:r w:rsidR="001E3ED2">
        <w:rPr>
          <w:color w:val="000000"/>
          <w:sz w:val="22"/>
          <w:szCs w:val="22"/>
        </w:rPr>
        <w:t>1</w:t>
      </w:r>
      <w:r w:rsidR="001912F6">
        <w:rPr>
          <w:color w:val="000000"/>
          <w:sz w:val="22"/>
          <w:szCs w:val="22"/>
        </w:rPr>
        <w:t>5</w:t>
      </w:r>
      <w:r w:rsidR="001E3ED2">
        <w:rPr>
          <w:color w:val="000000"/>
          <w:sz w:val="22"/>
          <w:szCs w:val="22"/>
        </w:rPr>
        <w:t>:</w:t>
      </w:r>
      <w:r w:rsidR="002637D6">
        <w:rPr>
          <w:color w:val="000000"/>
          <w:sz w:val="22"/>
          <w:szCs w:val="22"/>
        </w:rPr>
        <w:t>50</w:t>
      </w:r>
    </w:p>
    <w:p w14:paraId="1784539A" w14:textId="35264CD4" w:rsidR="00A52A52" w:rsidRPr="00A52A52" w:rsidRDefault="005F5255" w:rsidP="00A52A52">
      <w:pPr>
        <w:jc w:val="both"/>
        <w:rPr>
          <w:sz w:val="22"/>
          <w:szCs w:val="22"/>
        </w:rPr>
      </w:pPr>
      <w:r>
        <w:rPr>
          <w:sz w:val="22"/>
          <w:szCs w:val="22"/>
        </w:rPr>
        <w:t>1263</w:t>
      </w:r>
    </w:p>
    <w:p w14:paraId="08A04101" w14:textId="77777777" w:rsidR="009623FE" w:rsidRPr="009623FE" w:rsidRDefault="009623FE" w:rsidP="009623FE">
      <w:pPr>
        <w:ind w:right="-7"/>
        <w:rPr>
          <w:sz w:val="22"/>
          <w:szCs w:val="22"/>
        </w:rPr>
      </w:pPr>
      <w:r w:rsidRPr="009623FE">
        <w:rPr>
          <w:sz w:val="22"/>
          <w:szCs w:val="22"/>
        </w:rPr>
        <w:t>G.Rozenbilds 67219071</w:t>
      </w:r>
    </w:p>
    <w:p w14:paraId="13C58B0A" w14:textId="06EA81EF" w:rsidR="009623FE" w:rsidRDefault="009623FE" w:rsidP="009623FE">
      <w:pPr>
        <w:ind w:right="-7"/>
        <w:rPr>
          <w:sz w:val="22"/>
          <w:szCs w:val="22"/>
        </w:rPr>
      </w:pPr>
      <w:r w:rsidRPr="009623FE">
        <w:rPr>
          <w:sz w:val="22"/>
          <w:szCs w:val="22"/>
        </w:rPr>
        <w:t>gints.rozenbilds@iem.gov.lv</w:t>
      </w:r>
    </w:p>
    <w:p w14:paraId="4A87E641" w14:textId="77777777" w:rsidR="00A52A52" w:rsidRPr="00A52A52" w:rsidRDefault="00A52A52" w:rsidP="00A52A52">
      <w:pPr>
        <w:ind w:right="-7"/>
        <w:rPr>
          <w:sz w:val="22"/>
          <w:szCs w:val="22"/>
        </w:rPr>
      </w:pPr>
      <w:r w:rsidRPr="00A52A52">
        <w:rPr>
          <w:sz w:val="22"/>
          <w:szCs w:val="22"/>
        </w:rPr>
        <w:t>I.Dzelme 67219634</w:t>
      </w:r>
    </w:p>
    <w:p w14:paraId="402D6597" w14:textId="0698C39A" w:rsidR="000671F8" w:rsidRDefault="0034403E" w:rsidP="00A52A52">
      <w:pPr>
        <w:tabs>
          <w:tab w:val="right" w:pos="9354"/>
        </w:tabs>
        <w:rPr>
          <w:color w:val="0000FF"/>
          <w:sz w:val="22"/>
          <w:szCs w:val="22"/>
          <w:u w:val="single"/>
        </w:rPr>
      </w:pPr>
      <w:hyperlink r:id="rId8" w:history="1">
        <w:r w:rsidR="00A52A52" w:rsidRPr="00A52A52">
          <w:rPr>
            <w:color w:val="0000FF"/>
            <w:sz w:val="22"/>
            <w:szCs w:val="22"/>
            <w:u w:val="single"/>
          </w:rPr>
          <w:t>inita.dzelme@vp.gov.lv</w:t>
        </w:r>
      </w:hyperlink>
    </w:p>
    <w:sectPr w:rsidR="000671F8" w:rsidSect="000773AE">
      <w:headerReference w:type="even" r:id="rId9"/>
      <w:headerReference w:type="default" r:id="rId10"/>
      <w:footerReference w:type="even" r:id="rId11"/>
      <w:footerReference w:type="default" r:id="rId12"/>
      <w:headerReference w:type="first" r:id="rId13"/>
      <w:footerReference w:type="first" r:id="rId14"/>
      <w:pgSz w:w="11905" w:h="16837"/>
      <w:pgMar w:top="1560" w:right="848" w:bottom="1134" w:left="1701" w:header="1418"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0EC0C" w14:textId="77777777" w:rsidR="0034403E" w:rsidRDefault="0034403E">
      <w:r>
        <w:separator/>
      </w:r>
    </w:p>
  </w:endnote>
  <w:endnote w:type="continuationSeparator" w:id="0">
    <w:p w14:paraId="758CDF75" w14:textId="77777777" w:rsidR="0034403E" w:rsidRDefault="0034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RimTimes">
    <w:altName w:val="Courier New"/>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EUAlbertina">
    <w:altName w:val="Times New Roman"/>
    <w:charset w:val="00"/>
    <w:family w:val="roman"/>
    <w:pitch w:val="default"/>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EUAlbertina_Bold">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A9482" w14:textId="77777777" w:rsidR="00D7070A" w:rsidRDefault="00D70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16A55" w14:textId="133F991F" w:rsidR="00A54235" w:rsidRPr="00397DA4" w:rsidRDefault="00FD5B56" w:rsidP="00D1553F">
    <w:pPr>
      <w:pStyle w:val="Footer"/>
      <w:jc w:val="both"/>
      <w:rPr>
        <w:rFonts w:ascii="Times New Roman" w:hAnsi="Times New Roman"/>
        <w:sz w:val="20"/>
        <w:szCs w:val="20"/>
      </w:rPr>
    </w:pPr>
    <w:r w:rsidRPr="00BB2B79">
      <w:rPr>
        <w:rFonts w:ascii="Times New Roman" w:hAnsi="Times New Roman"/>
        <w:bCs/>
        <w:color w:val="000000" w:themeColor="text1"/>
        <w:sz w:val="20"/>
        <w:szCs w:val="20"/>
        <w:lang w:eastAsia="lv-LV"/>
      </w:rPr>
      <w:fldChar w:fldCharType="begin"/>
    </w:r>
    <w:r w:rsidRPr="00BB2B79">
      <w:rPr>
        <w:rFonts w:ascii="Times New Roman" w:hAnsi="Times New Roman"/>
        <w:bCs/>
        <w:color w:val="000000" w:themeColor="text1"/>
        <w:sz w:val="20"/>
        <w:szCs w:val="20"/>
        <w:lang w:eastAsia="lv-LV"/>
      </w:rPr>
      <w:instrText xml:space="preserve"> FILENAME   \* MERGEFORMAT </w:instrText>
    </w:r>
    <w:r w:rsidRPr="00BB2B79">
      <w:rPr>
        <w:rFonts w:ascii="Times New Roman" w:hAnsi="Times New Roman"/>
        <w:bCs/>
        <w:color w:val="000000" w:themeColor="text1"/>
        <w:sz w:val="20"/>
        <w:szCs w:val="20"/>
        <w:lang w:eastAsia="lv-LV"/>
      </w:rPr>
      <w:fldChar w:fldCharType="separate"/>
    </w:r>
    <w:r w:rsidR="00C67B58" w:rsidRPr="00BB2B79">
      <w:rPr>
        <w:rFonts w:ascii="Times New Roman" w:hAnsi="Times New Roman"/>
        <w:bCs/>
        <w:color w:val="000000" w:themeColor="text1"/>
        <w:sz w:val="20"/>
        <w:szCs w:val="20"/>
        <w:lang w:eastAsia="lv-LV"/>
      </w:rPr>
      <w:t>IeMAnot_</w:t>
    </w:r>
    <w:r w:rsidR="005F5255">
      <w:rPr>
        <w:rFonts w:ascii="Times New Roman" w:hAnsi="Times New Roman"/>
        <w:bCs/>
        <w:color w:val="000000" w:themeColor="text1"/>
        <w:sz w:val="20"/>
        <w:szCs w:val="20"/>
        <w:lang w:eastAsia="lv-LV"/>
      </w:rPr>
      <w:t>0102</w:t>
    </w:r>
    <w:r w:rsidR="005F5255" w:rsidRPr="00BB2B79">
      <w:rPr>
        <w:rFonts w:ascii="Times New Roman" w:hAnsi="Times New Roman"/>
        <w:bCs/>
        <w:color w:val="000000" w:themeColor="text1"/>
        <w:sz w:val="20"/>
        <w:szCs w:val="20"/>
        <w:lang w:eastAsia="lv-LV"/>
      </w:rPr>
      <w:t>1</w:t>
    </w:r>
    <w:r w:rsidR="005F5255">
      <w:rPr>
        <w:rFonts w:ascii="Times New Roman" w:hAnsi="Times New Roman"/>
        <w:bCs/>
        <w:color w:val="000000" w:themeColor="text1"/>
        <w:sz w:val="20"/>
        <w:szCs w:val="20"/>
        <w:lang w:eastAsia="lv-LV"/>
      </w:rPr>
      <w:t>6</w:t>
    </w:r>
    <w:r w:rsidR="00C67B58" w:rsidRPr="00BB2B79">
      <w:rPr>
        <w:rFonts w:ascii="Times New Roman" w:hAnsi="Times New Roman"/>
        <w:bCs/>
        <w:color w:val="000000" w:themeColor="text1"/>
        <w:sz w:val="20"/>
        <w:szCs w:val="20"/>
        <w:lang w:eastAsia="lv-LV"/>
      </w:rPr>
      <w:t>_groz.MK257.docx</w:t>
    </w:r>
    <w:r w:rsidRPr="00BB2B79">
      <w:rPr>
        <w:rFonts w:ascii="Times New Roman" w:hAnsi="Times New Roman"/>
        <w:bCs/>
        <w:color w:val="000000" w:themeColor="text1"/>
        <w:sz w:val="20"/>
        <w:szCs w:val="20"/>
        <w:lang w:eastAsia="lv-LV"/>
      </w:rPr>
      <w:fldChar w:fldCharType="end"/>
    </w:r>
    <w:r w:rsidRPr="00BB2B79">
      <w:rPr>
        <w:rFonts w:ascii="Times New Roman" w:hAnsi="Times New Roman"/>
        <w:bCs/>
        <w:color w:val="000000" w:themeColor="text1"/>
        <w:sz w:val="20"/>
        <w:szCs w:val="20"/>
        <w:lang w:eastAsia="lv-LV"/>
      </w:rPr>
      <w:t>; Ministru kabineta noteikumu projekta „Grozījum</w:t>
    </w:r>
    <w:r w:rsidR="00F44C65" w:rsidRPr="00BB2B79">
      <w:rPr>
        <w:rFonts w:ascii="Times New Roman" w:hAnsi="Times New Roman"/>
        <w:bCs/>
        <w:color w:val="000000" w:themeColor="text1"/>
        <w:sz w:val="20"/>
        <w:szCs w:val="20"/>
        <w:lang w:eastAsia="lv-LV"/>
      </w:rPr>
      <w:t>i</w:t>
    </w:r>
    <w:r w:rsidRPr="00BB2B79">
      <w:rPr>
        <w:rFonts w:ascii="Times New Roman" w:hAnsi="Times New Roman"/>
        <w:bCs/>
        <w:color w:val="000000" w:themeColor="text1"/>
        <w:sz w:val="20"/>
        <w:szCs w:val="20"/>
        <w:lang w:eastAsia="lv-LV"/>
      </w:rPr>
      <w:t xml:space="preserve"> Ministru kabineta </w:t>
    </w:r>
    <w:proofErr w:type="gramStart"/>
    <w:r w:rsidRPr="00BB2B79">
      <w:rPr>
        <w:rFonts w:ascii="Times New Roman" w:hAnsi="Times New Roman"/>
        <w:bCs/>
        <w:color w:val="000000" w:themeColor="text1"/>
        <w:sz w:val="20"/>
        <w:szCs w:val="20"/>
        <w:lang w:eastAsia="lv-LV"/>
      </w:rPr>
      <w:t>2010.gada</w:t>
    </w:r>
    <w:proofErr w:type="gramEnd"/>
    <w:r w:rsidRPr="00BB2B79">
      <w:rPr>
        <w:rFonts w:ascii="Times New Roman" w:hAnsi="Times New Roman"/>
        <w:bCs/>
        <w:color w:val="000000" w:themeColor="text1"/>
        <w:sz w:val="20"/>
        <w:szCs w:val="20"/>
        <w:lang w:eastAsia="lv-LV"/>
      </w:rPr>
      <w:t xml:space="preserve"> 16.marta noteikumos Nr.257 „</w:t>
    </w:r>
    <w:r w:rsidRPr="009A672C">
      <w:rPr>
        <w:rFonts w:ascii="Times New Roman" w:hAnsi="Times New Roman"/>
        <w:bCs/>
        <w:color w:val="000000" w:themeColor="text1"/>
        <w:sz w:val="20"/>
        <w:szCs w:val="20"/>
        <w:lang w:eastAsia="lv-LV"/>
      </w:rPr>
      <w:t>Noteikumi par kārtību, kādā Iekšlietu ministrijas sistēmas iestāžu un Ieslodzījuma vietu pārvaldes amatpersonas ar speciālajām dienesta pakāpēm tiek nosūtītas izglītības iegūšanai, kā arī mācību izdevumu segšanas un atmaksāšanas kārtību</w:t>
    </w:r>
    <w:r w:rsidRPr="009A672C">
      <w:rPr>
        <w:rStyle w:val="Strong"/>
        <w:b w:val="0"/>
        <w:color w:val="000000"/>
        <w:sz w:val="20"/>
        <w:szCs w:val="20"/>
      </w:rPr>
      <w:t>”</w:t>
    </w:r>
    <w:r>
      <w:rPr>
        <w:rStyle w:val="Strong"/>
        <w:color w:val="000000"/>
        <w:sz w:val="20"/>
        <w:szCs w:val="20"/>
      </w:rPr>
      <w:t>”</w:t>
    </w:r>
    <w:r>
      <w:rPr>
        <w:rFonts w:ascii="Times New Roman" w:hAnsi="Times New Roman"/>
        <w:sz w:val="20"/>
        <w:szCs w:val="20"/>
      </w:rPr>
      <w:t xml:space="preserve"> </w:t>
    </w:r>
    <w:r w:rsidRPr="00A52A52">
      <w:rPr>
        <w:rFonts w:ascii="Times New Roman" w:hAnsi="Times New Roman"/>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1ECDF" w14:textId="528F6B1C" w:rsidR="00A54235" w:rsidRPr="00EB0072" w:rsidRDefault="00FD5B56" w:rsidP="00D92132">
    <w:pPr>
      <w:pStyle w:val="Footer"/>
      <w:jc w:val="both"/>
      <w:rPr>
        <w:rFonts w:ascii="Times New Roman" w:hAnsi="Times New Roman"/>
        <w:sz w:val="20"/>
        <w:szCs w:val="20"/>
      </w:rPr>
    </w:pPr>
    <w:r w:rsidRPr="000773AE">
      <w:rPr>
        <w:rFonts w:ascii="Times New Roman" w:hAnsi="Times New Roman"/>
        <w:bCs/>
        <w:color w:val="000000" w:themeColor="text1"/>
        <w:sz w:val="20"/>
        <w:szCs w:val="20"/>
        <w:lang w:eastAsia="lv-LV"/>
      </w:rPr>
      <w:fldChar w:fldCharType="begin"/>
    </w:r>
    <w:r w:rsidRPr="000773AE">
      <w:rPr>
        <w:rFonts w:ascii="Times New Roman" w:hAnsi="Times New Roman"/>
        <w:bCs/>
        <w:color w:val="000000" w:themeColor="text1"/>
        <w:sz w:val="20"/>
        <w:szCs w:val="20"/>
        <w:lang w:eastAsia="lv-LV"/>
      </w:rPr>
      <w:instrText xml:space="preserve"> FILENAME   \* MERGEFORMAT </w:instrText>
    </w:r>
    <w:r w:rsidRPr="000773AE">
      <w:rPr>
        <w:rFonts w:ascii="Times New Roman" w:hAnsi="Times New Roman"/>
        <w:bCs/>
        <w:color w:val="000000" w:themeColor="text1"/>
        <w:sz w:val="20"/>
        <w:szCs w:val="20"/>
        <w:lang w:eastAsia="lv-LV"/>
      </w:rPr>
      <w:fldChar w:fldCharType="separate"/>
    </w:r>
    <w:r w:rsidR="00C67B58" w:rsidRPr="000773AE">
      <w:rPr>
        <w:rFonts w:ascii="Times New Roman" w:hAnsi="Times New Roman"/>
        <w:bCs/>
        <w:color w:val="000000" w:themeColor="text1"/>
        <w:sz w:val="20"/>
        <w:szCs w:val="20"/>
        <w:lang w:eastAsia="lv-LV"/>
      </w:rPr>
      <w:t>IeMAnot_</w:t>
    </w:r>
    <w:r w:rsidR="00D7070A">
      <w:rPr>
        <w:rFonts w:ascii="Times New Roman" w:hAnsi="Times New Roman"/>
        <w:bCs/>
        <w:color w:val="000000" w:themeColor="text1"/>
        <w:sz w:val="20"/>
        <w:szCs w:val="20"/>
        <w:lang w:eastAsia="lv-LV"/>
      </w:rPr>
      <w:t>010216</w:t>
    </w:r>
    <w:r w:rsidR="00C67B58" w:rsidRPr="000773AE">
      <w:rPr>
        <w:rFonts w:ascii="Times New Roman" w:hAnsi="Times New Roman"/>
        <w:bCs/>
        <w:color w:val="000000" w:themeColor="text1"/>
        <w:sz w:val="20"/>
        <w:szCs w:val="20"/>
        <w:lang w:eastAsia="lv-LV"/>
      </w:rPr>
      <w:t>_groz.MK257.docx</w:t>
    </w:r>
    <w:r w:rsidRPr="000773AE">
      <w:rPr>
        <w:rFonts w:ascii="Times New Roman" w:hAnsi="Times New Roman"/>
        <w:bCs/>
        <w:color w:val="000000" w:themeColor="text1"/>
        <w:sz w:val="20"/>
        <w:szCs w:val="20"/>
        <w:lang w:eastAsia="lv-LV"/>
      </w:rPr>
      <w:fldChar w:fldCharType="end"/>
    </w:r>
    <w:r w:rsidRPr="000773AE">
      <w:rPr>
        <w:rFonts w:ascii="Times New Roman" w:hAnsi="Times New Roman"/>
        <w:bCs/>
        <w:color w:val="000000" w:themeColor="text1"/>
        <w:sz w:val="20"/>
        <w:szCs w:val="20"/>
        <w:lang w:eastAsia="lv-LV"/>
      </w:rPr>
      <w:t>; Ministru kabineta noteikumu projekta „</w:t>
    </w:r>
    <w:r w:rsidRPr="000773AE">
      <w:rPr>
        <w:rFonts w:ascii="Times New Roman" w:hAnsi="Times New Roman"/>
        <w:color w:val="000000" w:themeColor="text1"/>
        <w:lang w:eastAsia="lv-LV"/>
      </w:rPr>
      <w:t>Grozījum</w:t>
    </w:r>
    <w:r w:rsidR="00F44C65" w:rsidRPr="000773AE">
      <w:rPr>
        <w:rFonts w:ascii="Times New Roman" w:hAnsi="Times New Roman"/>
        <w:color w:val="000000" w:themeColor="text1"/>
        <w:lang w:eastAsia="lv-LV"/>
      </w:rPr>
      <w:t>i</w:t>
    </w:r>
    <w:r w:rsidRPr="000773AE">
      <w:rPr>
        <w:rFonts w:ascii="Times New Roman" w:hAnsi="Times New Roman"/>
        <w:color w:val="000000" w:themeColor="text1"/>
        <w:lang w:eastAsia="lv-LV"/>
      </w:rPr>
      <w:t xml:space="preserve"> Ministru kabineta</w:t>
    </w:r>
    <w:r w:rsidRPr="000773AE">
      <w:rPr>
        <w:rFonts w:ascii="Times New Roman" w:hAnsi="Times New Roman"/>
        <w:b/>
        <w:color w:val="000000" w:themeColor="text1"/>
        <w:lang w:eastAsia="lv-LV"/>
      </w:rPr>
      <w:t xml:space="preserve"> </w:t>
    </w:r>
    <w:proofErr w:type="gramStart"/>
    <w:r w:rsidRPr="000773AE">
      <w:rPr>
        <w:rFonts w:ascii="Times New Roman" w:hAnsi="Times New Roman"/>
        <w:color w:val="000000" w:themeColor="text1"/>
        <w:lang w:eastAsia="lv-LV"/>
      </w:rPr>
      <w:t>2010.gada</w:t>
    </w:r>
    <w:proofErr w:type="gramEnd"/>
    <w:r w:rsidRPr="000773AE">
      <w:rPr>
        <w:rFonts w:ascii="Times New Roman" w:hAnsi="Times New Roman"/>
        <w:color w:val="000000" w:themeColor="text1"/>
        <w:lang w:eastAsia="lv-LV"/>
      </w:rPr>
      <w:t xml:space="preserve"> 16.marta noteikumos Nr.257 „</w:t>
    </w:r>
    <w:r w:rsidRPr="009A672C">
      <w:rPr>
        <w:rFonts w:ascii="Times New Roman" w:hAnsi="Times New Roman"/>
        <w:bCs/>
        <w:color w:val="000000" w:themeColor="text1"/>
        <w:sz w:val="20"/>
        <w:szCs w:val="20"/>
        <w:lang w:eastAsia="lv-LV"/>
      </w:rPr>
      <w:t>Noteikumi par kārtību, kādā Iekšlietu ministrijas sistēmas iestāžu un Ieslodzījuma vietu pārvaldes amatpersonas ar speciālajām dienesta pakāpēm tiek nosūtītas izglītības iegūšanai, kā arī mācību izdevumu segšanas un atmaksāšanas kārtību</w:t>
    </w:r>
    <w:r w:rsidRPr="009A672C">
      <w:rPr>
        <w:rStyle w:val="Strong"/>
        <w:b w:val="0"/>
        <w:color w:val="000000"/>
        <w:sz w:val="20"/>
        <w:szCs w:val="20"/>
      </w:rPr>
      <w:t>”</w:t>
    </w:r>
    <w:r>
      <w:rPr>
        <w:rStyle w:val="Strong"/>
        <w:color w:val="000000"/>
        <w:sz w:val="20"/>
        <w:szCs w:val="20"/>
      </w:rPr>
      <w:t>”</w:t>
    </w:r>
    <w:r w:rsidR="00A54235">
      <w:rPr>
        <w:rFonts w:ascii="Times New Roman" w:hAnsi="Times New Roman"/>
        <w:sz w:val="20"/>
        <w:szCs w:val="20"/>
      </w:rPr>
      <w:t xml:space="preserve"> </w:t>
    </w:r>
    <w:r w:rsidR="00A54235" w:rsidRPr="00A52A52">
      <w:rPr>
        <w:rFonts w:ascii="Times New Roman" w:hAnsi="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CA8B3" w14:textId="77777777" w:rsidR="0034403E" w:rsidRDefault="0034403E">
      <w:r>
        <w:separator/>
      </w:r>
    </w:p>
  </w:footnote>
  <w:footnote w:type="continuationSeparator" w:id="0">
    <w:p w14:paraId="2D70FDE3" w14:textId="77777777" w:rsidR="0034403E" w:rsidRDefault="00344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54795" w14:textId="77777777" w:rsidR="00A54235" w:rsidRDefault="00A54235" w:rsidP="00144B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C7EE07" w14:textId="77777777" w:rsidR="00A54235" w:rsidRDefault="00A542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5BB8F" w14:textId="77777777" w:rsidR="00A54235" w:rsidRDefault="00A54235" w:rsidP="00144B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3D52">
      <w:rPr>
        <w:rStyle w:val="PageNumber"/>
        <w:noProof/>
      </w:rPr>
      <w:t>5</w:t>
    </w:r>
    <w:r>
      <w:rPr>
        <w:rStyle w:val="PageNumber"/>
      </w:rPr>
      <w:fldChar w:fldCharType="end"/>
    </w:r>
  </w:p>
  <w:p w14:paraId="7E791AD6" w14:textId="77777777" w:rsidR="00A54235" w:rsidRDefault="00A542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7020E" w14:textId="77777777" w:rsidR="00D7070A" w:rsidRDefault="00D70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4320F28"/>
    <w:multiLevelType w:val="hybridMultilevel"/>
    <w:tmpl w:val="5A6C3D8C"/>
    <w:lvl w:ilvl="0" w:tplc="F5A0B97C">
      <w:start w:val="1"/>
      <w:numFmt w:val="lowerLetter"/>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3" w15:restartNumberingAfterBreak="0">
    <w:nsid w:val="067A2B3C"/>
    <w:multiLevelType w:val="hybridMultilevel"/>
    <w:tmpl w:val="CE34274C"/>
    <w:lvl w:ilvl="0" w:tplc="04260001">
      <w:start w:val="1"/>
      <w:numFmt w:val="bullet"/>
      <w:lvlText w:val=""/>
      <w:lvlJc w:val="left"/>
      <w:pPr>
        <w:ind w:left="919" w:hanging="360"/>
      </w:pPr>
      <w:rPr>
        <w:rFonts w:ascii="Symbol" w:hAnsi="Symbol" w:hint="default"/>
      </w:rPr>
    </w:lvl>
    <w:lvl w:ilvl="1" w:tplc="04260003" w:tentative="1">
      <w:start w:val="1"/>
      <w:numFmt w:val="bullet"/>
      <w:lvlText w:val="o"/>
      <w:lvlJc w:val="left"/>
      <w:pPr>
        <w:ind w:left="1639" w:hanging="360"/>
      </w:pPr>
      <w:rPr>
        <w:rFonts w:ascii="Courier New" w:hAnsi="Courier New" w:cs="Courier New" w:hint="default"/>
      </w:rPr>
    </w:lvl>
    <w:lvl w:ilvl="2" w:tplc="04260005" w:tentative="1">
      <w:start w:val="1"/>
      <w:numFmt w:val="bullet"/>
      <w:lvlText w:val=""/>
      <w:lvlJc w:val="left"/>
      <w:pPr>
        <w:ind w:left="2359" w:hanging="360"/>
      </w:pPr>
      <w:rPr>
        <w:rFonts w:ascii="Wingdings" w:hAnsi="Wingdings" w:hint="default"/>
      </w:rPr>
    </w:lvl>
    <w:lvl w:ilvl="3" w:tplc="04260001" w:tentative="1">
      <w:start w:val="1"/>
      <w:numFmt w:val="bullet"/>
      <w:lvlText w:val=""/>
      <w:lvlJc w:val="left"/>
      <w:pPr>
        <w:ind w:left="3079" w:hanging="360"/>
      </w:pPr>
      <w:rPr>
        <w:rFonts w:ascii="Symbol" w:hAnsi="Symbol" w:hint="default"/>
      </w:rPr>
    </w:lvl>
    <w:lvl w:ilvl="4" w:tplc="04260003" w:tentative="1">
      <w:start w:val="1"/>
      <w:numFmt w:val="bullet"/>
      <w:lvlText w:val="o"/>
      <w:lvlJc w:val="left"/>
      <w:pPr>
        <w:ind w:left="3799" w:hanging="360"/>
      </w:pPr>
      <w:rPr>
        <w:rFonts w:ascii="Courier New" w:hAnsi="Courier New" w:cs="Courier New" w:hint="default"/>
      </w:rPr>
    </w:lvl>
    <w:lvl w:ilvl="5" w:tplc="04260005" w:tentative="1">
      <w:start w:val="1"/>
      <w:numFmt w:val="bullet"/>
      <w:lvlText w:val=""/>
      <w:lvlJc w:val="left"/>
      <w:pPr>
        <w:ind w:left="4519" w:hanging="360"/>
      </w:pPr>
      <w:rPr>
        <w:rFonts w:ascii="Wingdings" w:hAnsi="Wingdings" w:hint="default"/>
      </w:rPr>
    </w:lvl>
    <w:lvl w:ilvl="6" w:tplc="04260001" w:tentative="1">
      <w:start w:val="1"/>
      <w:numFmt w:val="bullet"/>
      <w:lvlText w:val=""/>
      <w:lvlJc w:val="left"/>
      <w:pPr>
        <w:ind w:left="5239" w:hanging="360"/>
      </w:pPr>
      <w:rPr>
        <w:rFonts w:ascii="Symbol" w:hAnsi="Symbol" w:hint="default"/>
      </w:rPr>
    </w:lvl>
    <w:lvl w:ilvl="7" w:tplc="04260003" w:tentative="1">
      <w:start w:val="1"/>
      <w:numFmt w:val="bullet"/>
      <w:lvlText w:val="o"/>
      <w:lvlJc w:val="left"/>
      <w:pPr>
        <w:ind w:left="5959" w:hanging="360"/>
      </w:pPr>
      <w:rPr>
        <w:rFonts w:ascii="Courier New" w:hAnsi="Courier New" w:cs="Courier New" w:hint="default"/>
      </w:rPr>
    </w:lvl>
    <w:lvl w:ilvl="8" w:tplc="04260005" w:tentative="1">
      <w:start w:val="1"/>
      <w:numFmt w:val="bullet"/>
      <w:lvlText w:val=""/>
      <w:lvlJc w:val="left"/>
      <w:pPr>
        <w:ind w:left="6679" w:hanging="360"/>
      </w:pPr>
      <w:rPr>
        <w:rFonts w:ascii="Wingdings" w:hAnsi="Wingdings" w:hint="default"/>
      </w:rPr>
    </w:lvl>
  </w:abstractNum>
  <w:abstractNum w:abstractNumId="4" w15:restartNumberingAfterBreak="0">
    <w:nsid w:val="0CD214CD"/>
    <w:multiLevelType w:val="hybridMultilevel"/>
    <w:tmpl w:val="12D84590"/>
    <w:lvl w:ilvl="0" w:tplc="8D9C3EFE">
      <w:start w:val="1"/>
      <w:numFmt w:val="decimal"/>
      <w:lvlText w:val="%1."/>
      <w:lvlJc w:val="left"/>
      <w:pPr>
        <w:tabs>
          <w:tab w:val="num" w:pos="435"/>
        </w:tabs>
        <w:ind w:left="435" w:hanging="360"/>
      </w:pPr>
      <w:rPr>
        <w:rFonts w:hint="default"/>
      </w:rPr>
    </w:lvl>
    <w:lvl w:ilvl="1" w:tplc="04260019" w:tentative="1">
      <w:start w:val="1"/>
      <w:numFmt w:val="lowerLetter"/>
      <w:lvlText w:val="%2."/>
      <w:lvlJc w:val="left"/>
      <w:pPr>
        <w:tabs>
          <w:tab w:val="num" w:pos="1155"/>
        </w:tabs>
        <w:ind w:left="1155" w:hanging="360"/>
      </w:pPr>
    </w:lvl>
    <w:lvl w:ilvl="2" w:tplc="0426001B" w:tentative="1">
      <w:start w:val="1"/>
      <w:numFmt w:val="lowerRoman"/>
      <w:lvlText w:val="%3."/>
      <w:lvlJc w:val="right"/>
      <w:pPr>
        <w:tabs>
          <w:tab w:val="num" w:pos="1875"/>
        </w:tabs>
        <w:ind w:left="1875" w:hanging="180"/>
      </w:pPr>
    </w:lvl>
    <w:lvl w:ilvl="3" w:tplc="0426000F" w:tentative="1">
      <w:start w:val="1"/>
      <w:numFmt w:val="decimal"/>
      <w:lvlText w:val="%4."/>
      <w:lvlJc w:val="left"/>
      <w:pPr>
        <w:tabs>
          <w:tab w:val="num" w:pos="2595"/>
        </w:tabs>
        <w:ind w:left="2595" w:hanging="360"/>
      </w:pPr>
    </w:lvl>
    <w:lvl w:ilvl="4" w:tplc="04260019" w:tentative="1">
      <w:start w:val="1"/>
      <w:numFmt w:val="lowerLetter"/>
      <w:lvlText w:val="%5."/>
      <w:lvlJc w:val="left"/>
      <w:pPr>
        <w:tabs>
          <w:tab w:val="num" w:pos="3315"/>
        </w:tabs>
        <w:ind w:left="3315" w:hanging="360"/>
      </w:pPr>
    </w:lvl>
    <w:lvl w:ilvl="5" w:tplc="0426001B" w:tentative="1">
      <w:start w:val="1"/>
      <w:numFmt w:val="lowerRoman"/>
      <w:lvlText w:val="%6."/>
      <w:lvlJc w:val="right"/>
      <w:pPr>
        <w:tabs>
          <w:tab w:val="num" w:pos="4035"/>
        </w:tabs>
        <w:ind w:left="4035" w:hanging="180"/>
      </w:pPr>
    </w:lvl>
    <w:lvl w:ilvl="6" w:tplc="0426000F" w:tentative="1">
      <w:start w:val="1"/>
      <w:numFmt w:val="decimal"/>
      <w:lvlText w:val="%7."/>
      <w:lvlJc w:val="left"/>
      <w:pPr>
        <w:tabs>
          <w:tab w:val="num" w:pos="4755"/>
        </w:tabs>
        <w:ind w:left="4755" w:hanging="360"/>
      </w:pPr>
    </w:lvl>
    <w:lvl w:ilvl="7" w:tplc="04260019" w:tentative="1">
      <w:start w:val="1"/>
      <w:numFmt w:val="lowerLetter"/>
      <w:lvlText w:val="%8."/>
      <w:lvlJc w:val="left"/>
      <w:pPr>
        <w:tabs>
          <w:tab w:val="num" w:pos="5475"/>
        </w:tabs>
        <w:ind w:left="5475" w:hanging="360"/>
      </w:pPr>
    </w:lvl>
    <w:lvl w:ilvl="8" w:tplc="0426001B" w:tentative="1">
      <w:start w:val="1"/>
      <w:numFmt w:val="lowerRoman"/>
      <w:lvlText w:val="%9."/>
      <w:lvlJc w:val="right"/>
      <w:pPr>
        <w:tabs>
          <w:tab w:val="num" w:pos="6195"/>
        </w:tabs>
        <w:ind w:left="6195" w:hanging="180"/>
      </w:pPr>
    </w:lvl>
  </w:abstractNum>
  <w:abstractNum w:abstractNumId="5" w15:restartNumberingAfterBreak="0">
    <w:nsid w:val="0E080B74"/>
    <w:multiLevelType w:val="hybridMultilevel"/>
    <w:tmpl w:val="2EF6F738"/>
    <w:lvl w:ilvl="0" w:tplc="AE14A054">
      <w:start w:val="1"/>
      <w:numFmt w:val="decimal"/>
      <w:lvlText w:val="%1)"/>
      <w:lvlJc w:val="left"/>
      <w:pPr>
        <w:ind w:left="678" w:hanging="360"/>
      </w:pPr>
      <w:rPr>
        <w:rFonts w:hint="default"/>
        <w:b w:val="0"/>
        <w:color w:val="000000"/>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6" w15:restartNumberingAfterBreak="0">
    <w:nsid w:val="19575D39"/>
    <w:multiLevelType w:val="hybridMultilevel"/>
    <w:tmpl w:val="6ADC0F16"/>
    <w:lvl w:ilvl="0" w:tplc="04260001">
      <w:start w:val="1"/>
      <w:numFmt w:val="bullet"/>
      <w:lvlText w:val=""/>
      <w:lvlJc w:val="left"/>
      <w:pPr>
        <w:ind w:left="1110" w:hanging="360"/>
      </w:pPr>
      <w:rPr>
        <w:rFonts w:ascii="Symbol" w:hAnsi="Symbol" w:hint="default"/>
      </w:rPr>
    </w:lvl>
    <w:lvl w:ilvl="1" w:tplc="04260003" w:tentative="1">
      <w:start w:val="1"/>
      <w:numFmt w:val="bullet"/>
      <w:lvlText w:val="o"/>
      <w:lvlJc w:val="left"/>
      <w:pPr>
        <w:ind w:left="1830" w:hanging="360"/>
      </w:pPr>
      <w:rPr>
        <w:rFonts w:ascii="Courier New" w:hAnsi="Courier New" w:cs="Courier New" w:hint="default"/>
      </w:rPr>
    </w:lvl>
    <w:lvl w:ilvl="2" w:tplc="04260005" w:tentative="1">
      <w:start w:val="1"/>
      <w:numFmt w:val="bullet"/>
      <w:lvlText w:val=""/>
      <w:lvlJc w:val="left"/>
      <w:pPr>
        <w:ind w:left="2550" w:hanging="360"/>
      </w:pPr>
      <w:rPr>
        <w:rFonts w:ascii="Wingdings" w:hAnsi="Wingdings" w:hint="default"/>
      </w:rPr>
    </w:lvl>
    <w:lvl w:ilvl="3" w:tplc="04260001" w:tentative="1">
      <w:start w:val="1"/>
      <w:numFmt w:val="bullet"/>
      <w:lvlText w:val=""/>
      <w:lvlJc w:val="left"/>
      <w:pPr>
        <w:ind w:left="3270" w:hanging="360"/>
      </w:pPr>
      <w:rPr>
        <w:rFonts w:ascii="Symbol" w:hAnsi="Symbol" w:hint="default"/>
      </w:rPr>
    </w:lvl>
    <w:lvl w:ilvl="4" w:tplc="04260003" w:tentative="1">
      <w:start w:val="1"/>
      <w:numFmt w:val="bullet"/>
      <w:lvlText w:val="o"/>
      <w:lvlJc w:val="left"/>
      <w:pPr>
        <w:ind w:left="3990" w:hanging="360"/>
      </w:pPr>
      <w:rPr>
        <w:rFonts w:ascii="Courier New" w:hAnsi="Courier New" w:cs="Courier New" w:hint="default"/>
      </w:rPr>
    </w:lvl>
    <w:lvl w:ilvl="5" w:tplc="04260005" w:tentative="1">
      <w:start w:val="1"/>
      <w:numFmt w:val="bullet"/>
      <w:lvlText w:val=""/>
      <w:lvlJc w:val="left"/>
      <w:pPr>
        <w:ind w:left="4710" w:hanging="360"/>
      </w:pPr>
      <w:rPr>
        <w:rFonts w:ascii="Wingdings" w:hAnsi="Wingdings" w:hint="default"/>
      </w:rPr>
    </w:lvl>
    <w:lvl w:ilvl="6" w:tplc="04260001" w:tentative="1">
      <w:start w:val="1"/>
      <w:numFmt w:val="bullet"/>
      <w:lvlText w:val=""/>
      <w:lvlJc w:val="left"/>
      <w:pPr>
        <w:ind w:left="5430" w:hanging="360"/>
      </w:pPr>
      <w:rPr>
        <w:rFonts w:ascii="Symbol" w:hAnsi="Symbol" w:hint="default"/>
      </w:rPr>
    </w:lvl>
    <w:lvl w:ilvl="7" w:tplc="04260003" w:tentative="1">
      <w:start w:val="1"/>
      <w:numFmt w:val="bullet"/>
      <w:lvlText w:val="o"/>
      <w:lvlJc w:val="left"/>
      <w:pPr>
        <w:ind w:left="6150" w:hanging="360"/>
      </w:pPr>
      <w:rPr>
        <w:rFonts w:ascii="Courier New" w:hAnsi="Courier New" w:cs="Courier New" w:hint="default"/>
      </w:rPr>
    </w:lvl>
    <w:lvl w:ilvl="8" w:tplc="04260005" w:tentative="1">
      <w:start w:val="1"/>
      <w:numFmt w:val="bullet"/>
      <w:lvlText w:val=""/>
      <w:lvlJc w:val="left"/>
      <w:pPr>
        <w:ind w:left="6870" w:hanging="360"/>
      </w:pPr>
      <w:rPr>
        <w:rFonts w:ascii="Wingdings" w:hAnsi="Wingdings" w:hint="default"/>
      </w:rPr>
    </w:lvl>
  </w:abstractNum>
  <w:abstractNum w:abstractNumId="7" w15:restartNumberingAfterBreak="0">
    <w:nsid w:val="2B6D3CB5"/>
    <w:multiLevelType w:val="hybridMultilevel"/>
    <w:tmpl w:val="DCE4B37C"/>
    <w:lvl w:ilvl="0" w:tplc="53F694D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F66F0D"/>
    <w:multiLevelType w:val="hybridMultilevel"/>
    <w:tmpl w:val="1C58D28C"/>
    <w:lvl w:ilvl="0" w:tplc="D3527C1A">
      <w:start w:val="1"/>
      <w:numFmt w:val="decimal"/>
      <w:lvlText w:val="%1."/>
      <w:lvlJc w:val="left"/>
      <w:pPr>
        <w:ind w:left="435" w:hanging="360"/>
      </w:pPr>
      <w:rPr>
        <w:rFonts w:hint="default"/>
        <w:sz w:val="24"/>
        <w:szCs w:val="24"/>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9" w15:restartNumberingAfterBreak="0">
    <w:nsid w:val="328A17EC"/>
    <w:multiLevelType w:val="hybridMultilevel"/>
    <w:tmpl w:val="E7CE4CDC"/>
    <w:lvl w:ilvl="0" w:tplc="16400E62">
      <w:start w:val="3"/>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2F81A21"/>
    <w:multiLevelType w:val="hybridMultilevel"/>
    <w:tmpl w:val="0F4C1F5C"/>
    <w:lvl w:ilvl="0" w:tplc="9F62F31C">
      <w:start w:val="1"/>
      <w:numFmt w:val="decimal"/>
      <w:lvlText w:val="%1)"/>
      <w:lvlJc w:val="left"/>
      <w:pPr>
        <w:ind w:left="678" w:hanging="360"/>
      </w:pPr>
      <w:rPr>
        <w:rFonts w:hint="default"/>
        <w:color w:val="000000"/>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1" w15:restartNumberingAfterBreak="0">
    <w:nsid w:val="3C4271B5"/>
    <w:multiLevelType w:val="hybridMultilevel"/>
    <w:tmpl w:val="781A010E"/>
    <w:lvl w:ilvl="0" w:tplc="E22E8542">
      <w:start w:val="3"/>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8FF3214"/>
    <w:multiLevelType w:val="hybridMultilevel"/>
    <w:tmpl w:val="A81CCB48"/>
    <w:lvl w:ilvl="0" w:tplc="04260001">
      <w:start w:val="1"/>
      <w:numFmt w:val="bullet"/>
      <w:lvlText w:val=""/>
      <w:lvlJc w:val="left"/>
      <w:pPr>
        <w:ind w:left="1052" w:hanging="360"/>
      </w:pPr>
      <w:rPr>
        <w:rFonts w:ascii="Symbol" w:hAnsi="Symbol" w:hint="default"/>
      </w:rPr>
    </w:lvl>
    <w:lvl w:ilvl="1" w:tplc="04260003" w:tentative="1">
      <w:start w:val="1"/>
      <w:numFmt w:val="bullet"/>
      <w:lvlText w:val="o"/>
      <w:lvlJc w:val="left"/>
      <w:pPr>
        <w:ind w:left="1772" w:hanging="360"/>
      </w:pPr>
      <w:rPr>
        <w:rFonts w:ascii="Courier New" w:hAnsi="Courier New" w:cs="Courier New" w:hint="default"/>
      </w:rPr>
    </w:lvl>
    <w:lvl w:ilvl="2" w:tplc="04260005" w:tentative="1">
      <w:start w:val="1"/>
      <w:numFmt w:val="bullet"/>
      <w:lvlText w:val=""/>
      <w:lvlJc w:val="left"/>
      <w:pPr>
        <w:ind w:left="2492" w:hanging="360"/>
      </w:pPr>
      <w:rPr>
        <w:rFonts w:ascii="Wingdings" w:hAnsi="Wingdings" w:hint="default"/>
      </w:rPr>
    </w:lvl>
    <w:lvl w:ilvl="3" w:tplc="04260001" w:tentative="1">
      <w:start w:val="1"/>
      <w:numFmt w:val="bullet"/>
      <w:lvlText w:val=""/>
      <w:lvlJc w:val="left"/>
      <w:pPr>
        <w:ind w:left="3212" w:hanging="360"/>
      </w:pPr>
      <w:rPr>
        <w:rFonts w:ascii="Symbol" w:hAnsi="Symbol" w:hint="default"/>
      </w:rPr>
    </w:lvl>
    <w:lvl w:ilvl="4" w:tplc="04260003" w:tentative="1">
      <w:start w:val="1"/>
      <w:numFmt w:val="bullet"/>
      <w:lvlText w:val="o"/>
      <w:lvlJc w:val="left"/>
      <w:pPr>
        <w:ind w:left="3932" w:hanging="360"/>
      </w:pPr>
      <w:rPr>
        <w:rFonts w:ascii="Courier New" w:hAnsi="Courier New" w:cs="Courier New" w:hint="default"/>
      </w:rPr>
    </w:lvl>
    <w:lvl w:ilvl="5" w:tplc="04260005" w:tentative="1">
      <w:start w:val="1"/>
      <w:numFmt w:val="bullet"/>
      <w:lvlText w:val=""/>
      <w:lvlJc w:val="left"/>
      <w:pPr>
        <w:ind w:left="4652" w:hanging="360"/>
      </w:pPr>
      <w:rPr>
        <w:rFonts w:ascii="Wingdings" w:hAnsi="Wingdings" w:hint="default"/>
      </w:rPr>
    </w:lvl>
    <w:lvl w:ilvl="6" w:tplc="04260001" w:tentative="1">
      <w:start w:val="1"/>
      <w:numFmt w:val="bullet"/>
      <w:lvlText w:val=""/>
      <w:lvlJc w:val="left"/>
      <w:pPr>
        <w:ind w:left="5372" w:hanging="360"/>
      </w:pPr>
      <w:rPr>
        <w:rFonts w:ascii="Symbol" w:hAnsi="Symbol" w:hint="default"/>
      </w:rPr>
    </w:lvl>
    <w:lvl w:ilvl="7" w:tplc="04260003" w:tentative="1">
      <w:start w:val="1"/>
      <w:numFmt w:val="bullet"/>
      <w:lvlText w:val="o"/>
      <w:lvlJc w:val="left"/>
      <w:pPr>
        <w:ind w:left="6092" w:hanging="360"/>
      </w:pPr>
      <w:rPr>
        <w:rFonts w:ascii="Courier New" w:hAnsi="Courier New" w:cs="Courier New" w:hint="default"/>
      </w:rPr>
    </w:lvl>
    <w:lvl w:ilvl="8" w:tplc="04260005" w:tentative="1">
      <w:start w:val="1"/>
      <w:numFmt w:val="bullet"/>
      <w:lvlText w:val=""/>
      <w:lvlJc w:val="left"/>
      <w:pPr>
        <w:ind w:left="6812" w:hanging="360"/>
      </w:pPr>
      <w:rPr>
        <w:rFonts w:ascii="Wingdings" w:hAnsi="Wingdings" w:hint="default"/>
      </w:rPr>
    </w:lvl>
  </w:abstractNum>
  <w:abstractNum w:abstractNumId="13" w15:restartNumberingAfterBreak="0">
    <w:nsid w:val="4C0344ED"/>
    <w:multiLevelType w:val="hybridMultilevel"/>
    <w:tmpl w:val="09F673C8"/>
    <w:lvl w:ilvl="0" w:tplc="E12A99A6">
      <w:start w:val="1"/>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14" w15:restartNumberingAfterBreak="0">
    <w:nsid w:val="5B615410"/>
    <w:multiLevelType w:val="hybridMultilevel"/>
    <w:tmpl w:val="5EFC56D2"/>
    <w:lvl w:ilvl="0" w:tplc="04260011">
      <w:start w:val="1"/>
      <w:numFmt w:val="decimal"/>
      <w:lvlText w:val="%1)"/>
      <w:lvlJc w:val="left"/>
      <w:pPr>
        <w:tabs>
          <w:tab w:val="num" w:pos="960"/>
        </w:tabs>
        <w:ind w:left="960" w:hanging="360"/>
      </w:pPr>
    </w:lvl>
    <w:lvl w:ilvl="1" w:tplc="04260019" w:tentative="1">
      <w:start w:val="1"/>
      <w:numFmt w:val="lowerLetter"/>
      <w:lvlText w:val="%2."/>
      <w:lvlJc w:val="left"/>
      <w:pPr>
        <w:tabs>
          <w:tab w:val="num" w:pos="1680"/>
        </w:tabs>
        <w:ind w:left="1680" w:hanging="360"/>
      </w:pPr>
    </w:lvl>
    <w:lvl w:ilvl="2" w:tplc="0426001B" w:tentative="1">
      <w:start w:val="1"/>
      <w:numFmt w:val="lowerRoman"/>
      <w:lvlText w:val="%3."/>
      <w:lvlJc w:val="right"/>
      <w:pPr>
        <w:tabs>
          <w:tab w:val="num" w:pos="2400"/>
        </w:tabs>
        <w:ind w:left="2400" w:hanging="180"/>
      </w:pPr>
    </w:lvl>
    <w:lvl w:ilvl="3" w:tplc="0426000F" w:tentative="1">
      <w:start w:val="1"/>
      <w:numFmt w:val="decimal"/>
      <w:lvlText w:val="%4."/>
      <w:lvlJc w:val="left"/>
      <w:pPr>
        <w:tabs>
          <w:tab w:val="num" w:pos="3120"/>
        </w:tabs>
        <w:ind w:left="3120" w:hanging="360"/>
      </w:pPr>
    </w:lvl>
    <w:lvl w:ilvl="4" w:tplc="04260019" w:tentative="1">
      <w:start w:val="1"/>
      <w:numFmt w:val="lowerLetter"/>
      <w:lvlText w:val="%5."/>
      <w:lvlJc w:val="left"/>
      <w:pPr>
        <w:tabs>
          <w:tab w:val="num" w:pos="3840"/>
        </w:tabs>
        <w:ind w:left="3840" w:hanging="360"/>
      </w:pPr>
    </w:lvl>
    <w:lvl w:ilvl="5" w:tplc="0426001B" w:tentative="1">
      <w:start w:val="1"/>
      <w:numFmt w:val="lowerRoman"/>
      <w:lvlText w:val="%6."/>
      <w:lvlJc w:val="right"/>
      <w:pPr>
        <w:tabs>
          <w:tab w:val="num" w:pos="4560"/>
        </w:tabs>
        <w:ind w:left="4560" w:hanging="180"/>
      </w:pPr>
    </w:lvl>
    <w:lvl w:ilvl="6" w:tplc="0426000F" w:tentative="1">
      <w:start w:val="1"/>
      <w:numFmt w:val="decimal"/>
      <w:lvlText w:val="%7."/>
      <w:lvlJc w:val="left"/>
      <w:pPr>
        <w:tabs>
          <w:tab w:val="num" w:pos="5280"/>
        </w:tabs>
        <w:ind w:left="5280" w:hanging="360"/>
      </w:pPr>
    </w:lvl>
    <w:lvl w:ilvl="7" w:tplc="04260019" w:tentative="1">
      <w:start w:val="1"/>
      <w:numFmt w:val="lowerLetter"/>
      <w:lvlText w:val="%8."/>
      <w:lvlJc w:val="left"/>
      <w:pPr>
        <w:tabs>
          <w:tab w:val="num" w:pos="6000"/>
        </w:tabs>
        <w:ind w:left="6000" w:hanging="360"/>
      </w:pPr>
    </w:lvl>
    <w:lvl w:ilvl="8" w:tplc="0426001B" w:tentative="1">
      <w:start w:val="1"/>
      <w:numFmt w:val="lowerRoman"/>
      <w:lvlText w:val="%9."/>
      <w:lvlJc w:val="right"/>
      <w:pPr>
        <w:tabs>
          <w:tab w:val="num" w:pos="6720"/>
        </w:tabs>
        <w:ind w:left="6720" w:hanging="180"/>
      </w:pPr>
    </w:lvl>
  </w:abstractNum>
  <w:abstractNum w:abstractNumId="15" w15:restartNumberingAfterBreak="0">
    <w:nsid w:val="5E24539B"/>
    <w:multiLevelType w:val="hybridMultilevel"/>
    <w:tmpl w:val="1C58D28C"/>
    <w:lvl w:ilvl="0" w:tplc="D3527C1A">
      <w:start w:val="1"/>
      <w:numFmt w:val="decimal"/>
      <w:lvlText w:val="%1."/>
      <w:lvlJc w:val="left"/>
      <w:pPr>
        <w:ind w:left="435" w:hanging="360"/>
      </w:pPr>
      <w:rPr>
        <w:rFonts w:hint="default"/>
        <w:sz w:val="24"/>
        <w:szCs w:val="24"/>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6" w15:restartNumberingAfterBreak="0">
    <w:nsid w:val="65036967"/>
    <w:multiLevelType w:val="hybridMultilevel"/>
    <w:tmpl w:val="DC289974"/>
    <w:lvl w:ilvl="0" w:tplc="9B9669C4">
      <w:numFmt w:val="bullet"/>
      <w:lvlText w:val="-"/>
      <w:lvlJc w:val="left"/>
      <w:pPr>
        <w:ind w:left="435" w:hanging="360"/>
      </w:pPr>
      <w:rPr>
        <w:rFonts w:ascii="Times New Roman" w:eastAsia="Times New Roman" w:hAnsi="Times New Roman" w:cs="Times New Roman" w:hint="default"/>
        <w:sz w:val="28"/>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7" w15:restartNumberingAfterBreak="0">
    <w:nsid w:val="6AA934AF"/>
    <w:multiLevelType w:val="hybridMultilevel"/>
    <w:tmpl w:val="8CA044A4"/>
    <w:lvl w:ilvl="0" w:tplc="987EB748">
      <w:start w:val="5"/>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D0F17FB"/>
    <w:multiLevelType w:val="hybridMultilevel"/>
    <w:tmpl w:val="062AE790"/>
    <w:lvl w:ilvl="0" w:tplc="0B08A1A8">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6061173"/>
    <w:multiLevelType w:val="hybridMultilevel"/>
    <w:tmpl w:val="0F4C1F5C"/>
    <w:lvl w:ilvl="0" w:tplc="9F62F31C">
      <w:start w:val="1"/>
      <w:numFmt w:val="decimal"/>
      <w:lvlText w:val="%1)"/>
      <w:lvlJc w:val="left"/>
      <w:pPr>
        <w:ind w:left="678" w:hanging="360"/>
      </w:pPr>
      <w:rPr>
        <w:rFonts w:hint="default"/>
        <w:color w:val="000000"/>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20" w15:restartNumberingAfterBreak="0">
    <w:nsid w:val="789003FF"/>
    <w:multiLevelType w:val="hybridMultilevel"/>
    <w:tmpl w:val="09E60AFA"/>
    <w:lvl w:ilvl="0" w:tplc="9B9669C4">
      <w:numFmt w:val="bullet"/>
      <w:lvlText w:val="-"/>
      <w:lvlJc w:val="left"/>
      <w:pPr>
        <w:ind w:left="435" w:hanging="360"/>
      </w:pPr>
      <w:rPr>
        <w:rFonts w:ascii="Times New Roman" w:eastAsia="Times New Roman" w:hAnsi="Times New Roman" w:cs="Times New Roman"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DA90938"/>
    <w:multiLevelType w:val="hybridMultilevel"/>
    <w:tmpl w:val="9EFEF7A6"/>
    <w:lvl w:ilvl="0" w:tplc="D3527C1A">
      <w:start w:val="1"/>
      <w:numFmt w:val="decimal"/>
      <w:lvlText w:val="%1."/>
      <w:lvlJc w:val="left"/>
      <w:pPr>
        <w:ind w:left="495" w:hanging="360"/>
      </w:pPr>
      <w:rPr>
        <w:rFonts w:hint="default"/>
        <w:sz w:val="24"/>
        <w:szCs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2" w15:restartNumberingAfterBreak="0">
    <w:nsid w:val="7DB437F1"/>
    <w:multiLevelType w:val="hybridMultilevel"/>
    <w:tmpl w:val="E3888E4E"/>
    <w:lvl w:ilvl="0" w:tplc="BF50D1CA">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BC6EA3"/>
    <w:multiLevelType w:val="hybridMultilevel"/>
    <w:tmpl w:val="8CECDD32"/>
    <w:lvl w:ilvl="0" w:tplc="75D627C2">
      <w:start w:val="4"/>
      <w:numFmt w:val="lowerLetter"/>
      <w:lvlText w:val="%1)"/>
      <w:lvlJc w:val="left"/>
      <w:pPr>
        <w:ind w:left="1014" w:hanging="360"/>
      </w:pPr>
      <w:rPr>
        <w:rFonts w:hint="default"/>
      </w:rPr>
    </w:lvl>
    <w:lvl w:ilvl="1" w:tplc="04260019" w:tentative="1">
      <w:start w:val="1"/>
      <w:numFmt w:val="lowerLetter"/>
      <w:lvlText w:val="%2."/>
      <w:lvlJc w:val="left"/>
      <w:pPr>
        <w:ind w:left="1734" w:hanging="360"/>
      </w:pPr>
    </w:lvl>
    <w:lvl w:ilvl="2" w:tplc="0426001B" w:tentative="1">
      <w:start w:val="1"/>
      <w:numFmt w:val="lowerRoman"/>
      <w:lvlText w:val="%3."/>
      <w:lvlJc w:val="right"/>
      <w:pPr>
        <w:ind w:left="2454" w:hanging="180"/>
      </w:pPr>
    </w:lvl>
    <w:lvl w:ilvl="3" w:tplc="0426000F" w:tentative="1">
      <w:start w:val="1"/>
      <w:numFmt w:val="decimal"/>
      <w:lvlText w:val="%4."/>
      <w:lvlJc w:val="left"/>
      <w:pPr>
        <w:ind w:left="3174" w:hanging="360"/>
      </w:pPr>
    </w:lvl>
    <w:lvl w:ilvl="4" w:tplc="04260019" w:tentative="1">
      <w:start w:val="1"/>
      <w:numFmt w:val="lowerLetter"/>
      <w:lvlText w:val="%5."/>
      <w:lvlJc w:val="left"/>
      <w:pPr>
        <w:ind w:left="3894" w:hanging="360"/>
      </w:pPr>
    </w:lvl>
    <w:lvl w:ilvl="5" w:tplc="0426001B" w:tentative="1">
      <w:start w:val="1"/>
      <w:numFmt w:val="lowerRoman"/>
      <w:lvlText w:val="%6."/>
      <w:lvlJc w:val="right"/>
      <w:pPr>
        <w:ind w:left="4614" w:hanging="180"/>
      </w:pPr>
    </w:lvl>
    <w:lvl w:ilvl="6" w:tplc="0426000F" w:tentative="1">
      <w:start w:val="1"/>
      <w:numFmt w:val="decimal"/>
      <w:lvlText w:val="%7."/>
      <w:lvlJc w:val="left"/>
      <w:pPr>
        <w:ind w:left="5334" w:hanging="360"/>
      </w:pPr>
    </w:lvl>
    <w:lvl w:ilvl="7" w:tplc="04260019" w:tentative="1">
      <w:start w:val="1"/>
      <w:numFmt w:val="lowerLetter"/>
      <w:lvlText w:val="%8."/>
      <w:lvlJc w:val="left"/>
      <w:pPr>
        <w:ind w:left="6054" w:hanging="360"/>
      </w:pPr>
    </w:lvl>
    <w:lvl w:ilvl="8" w:tplc="0426001B" w:tentative="1">
      <w:start w:val="1"/>
      <w:numFmt w:val="lowerRoman"/>
      <w:lvlText w:val="%9."/>
      <w:lvlJc w:val="right"/>
      <w:pPr>
        <w:ind w:left="6774" w:hanging="180"/>
      </w:pPr>
    </w:lvl>
  </w:abstractNum>
  <w:num w:numId="1">
    <w:abstractNumId w:val="0"/>
  </w:num>
  <w:num w:numId="2">
    <w:abstractNumId w:val="1"/>
  </w:num>
  <w:num w:numId="3">
    <w:abstractNumId w:val="16"/>
  </w:num>
  <w:num w:numId="4">
    <w:abstractNumId w:val="15"/>
  </w:num>
  <w:num w:numId="5">
    <w:abstractNumId w:val="8"/>
  </w:num>
  <w:num w:numId="6">
    <w:abstractNumId w:val="21"/>
  </w:num>
  <w:num w:numId="7">
    <w:abstractNumId w:val="20"/>
  </w:num>
  <w:num w:numId="8">
    <w:abstractNumId w:val="4"/>
  </w:num>
  <w:num w:numId="9">
    <w:abstractNumId w:val="14"/>
  </w:num>
  <w:num w:numId="10">
    <w:abstractNumId w:val="22"/>
  </w:num>
  <w:num w:numId="11">
    <w:abstractNumId w:val="11"/>
  </w:num>
  <w:num w:numId="12">
    <w:abstractNumId w:val="17"/>
  </w:num>
  <w:num w:numId="13">
    <w:abstractNumId w:val="9"/>
  </w:num>
  <w:num w:numId="14">
    <w:abstractNumId w:val="7"/>
  </w:num>
  <w:num w:numId="15">
    <w:abstractNumId w:val="12"/>
  </w:num>
  <w:num w:numId="16">
    <w:abstractNumId w:val="6"/>
  </w:num>
  <w:num w:numId="17">
    <w:abstractNumId w:val="18"/>
  </w:num>
  <w:num w:numId="18">
    <w:abstractNumId w:val="23"/>
  </w:num>
  <w:num w:numId="19">
    <w:abstractNumId w:val="3"/>
  </w:num>
  <w:num w:numId="20">
    <w:abstractNumId w:val="13"/>
  </w:num>
  <w:num w:numId="21">
    <w:abstractNumId w:val="19"/>
  </w:num>
  <w:num w:numId="22">
    <w:abstractNumId w:val="2"/>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5F"/>
    <w:rsid w:val="00002244"/>
    <w:rsid w:val="00004F73"/>
    <w:rsid w:val="000111DB"/>
    <w:rsid w:val="00011735"/>
    <w:rsid w:val="00020F14"/>
    <w:rsid w:val="00025900"/>
    <w:rsid w:val="00034F15"/>
    <w:rsid w:val="000352DB"/>
    <w:rsid w:val="00041F01"/>
    <w:rsid w:val="000424FC"/>
    <w:rsid w:val="0004270C"/>
    <w:rsid w:val="00044F6F"/>
    <w:rsid w:val="000546A3"/>
    <w:rsid w:val="00057E27"/>
    <w:rsid w:val="000671F8"/>
    <w:rsid w:val="0007685E"/>
    <w:rsid w:val="000773AE"/>
    <w:rsid w:val="00081552"/>
    <w:rsid w:val="00083D48"/>
    <w:rsid w:val="00087401"/>
    <w:rsid w:val="00087C3B"/>
    <w:rsid w:val="00091BC5"/>
    <w:rsid w:val="00091EB4"/>
    <w:rsid w:val="000A3039"/>
    <w:rsid w:val="000A7C58"/>
    <w:rsid w:val="000B38C6"/>
    <w:rsid w:val="000C01B9"/>
    <w:rsid w:val="000D16D5"/>
    <w:rsid w:val="000D4D72"/>
    <w:rsid w:val="000D6584"/>
    <w:rsid w:val="000D7723"/>
    <w:rsid w:val="000F0B90"/>
    <w:rsid w:val="000F253E"/>
    <w:rsid w:val="000F481C"/>
    <w:rsid w:val="000F5B84"/>
    <w:rsid w:val="00100CFC"/>
    <w:rsid w:val="001036D2"/>
    <w:rsid w:val="00107C2F"/>
    <w:rsid w:val="0011092F"/>
    <w:rsid w:val="00121C0B"/>
    <w:rsid w:val="00123BB4"/>
    <w:rsid w:val="0012632C"/>
    <w:rsid w:val="0013386A"/>
    <w:rsid w:val="001350A4"/>
    <w:rsid w:val="001350BC"/>
    <w:rsid w:val="00136450"/>
    <w:rsid w:val="00142660"/>
    <w:rsid w:val="00144B4D"/>
    <w:rsid w:val="00147C60"/>
    <w:rsid w:val="00151FAD"/>
    <w:rsid w:val="001608DE"/>
    <w:rsid w:val="00165164"/>
    <w:rsid w:val="0017302A"/>
    <w:rsid w:val="00173D77"/>
    <w:rsid w:val="00175A04"/>
    <w:rsid w:val="001815A3"/>
    <w:rsid w:val="00184C06"/>
    <w:rsid w:val="001912F6"/>
    <w:rsid w:val="001A7097"/>
    <w:rsid w:val="001B014E"/>
    <w:rsid w:val="001B6CAB"/>
    <w:rsid w:val="001C2C02"/>
    <w:rsid w:val="001C48F7"/>
    <w:rsid w:val="001D1CF0"/>
    <w:rsid w:val="001D1EED"/>
    <w:rsid w:val="001E13B5"/>
    <w:rsid w:val="001E1CC0"/>
    <w:rsid w:val="001E2AAF"/>
    <w:rsid w:val="001E3BF1"/>
    <w:rsid w:val="001E3ED2"/>
    <w:rsid w:val="001E64E1"/>
    <w:rsid w:val="001E7DBB"/>
    <w:rsid w:val="001F088F"/>
    <w:rsid w:val="001F77D0"/>
    <w:rsid w:val="002041BA"/>
    <w:rsid w:val="00207D5D"/>
    <w:rsid w:val="00211DB2"/>
    <w:rsid w:val="002125AF"/>
    <w:rsid w:val="00214495"/>
    <w:rsid w:val="00216EFE"/>
    <w:rsid w:val="00217117"/>
    <w:rsid w:val="002176E5"/>
    <w:rsid w:val="00222CA6"/>
    <w:rsid w:val="00223D8B"/>
    <w:rsid w:val="002274EC"/>
    <w:rsid w:val="00230D47"/>
    <w:rsid w:val="00230FCA"/>
    <w:rsid w:val="0023211C"/>
    <w:rsid w:val="00232C8D"/>
    <w:rsid w:val="00233E2A"/>
    <w:rsid w:val="00235B91"/>
    <w:rsid w:val="00235F1A"/>
    <w:rsid w:val="0024415E"/>
    <w:rsid w:val="00245DA2"/>
    <w:rsid w:val="0024627B"/>
    <w:rsid w:val="00255C82"/>
    <w:rsid w:val="002570B4"/>
    <w:rsid w:val="002617B9"/>
    <w:rsid w:val="002637D6"/>
    <w:rsid w:val="00264899"/>
    <w:rsid w:val="00272C07"/>
    <w:rsid w:val="002749EA"/>
    <w:rsid w:val="002817FF"/>
    <w:rsid w:val="00292335"/>
    <w:rsid w:val="0029510D"/>
    <w:rsid w:val="002953D2"/>
    <w:rsid w:val="002A37B0"/>
    <w:rsid w:val="002B1573"/>
    <w:rsid w:val="002B4277"/>
    <w:rsid w:val="002C3581"/>
    <w:rsid w:val="002D2BFA"/>
    <w:rsid w:val="002E3C0E"/>
    <w:rsid w:val="002E6255"/>
    <w:rsid w:val="002F111A"/>
    <w:rsid w:val="002F38B6"/>
    <w:rsid w:val="002F68E3"/>
    <w:rsid w:val="00300BCE"/>
    <w:rsid w:val="00300D5A"/>
    <w:rsid w:val="00304B3E"/>
    <w:rsid w:val="00304F79"/>
    <w:rsid w:val="00310E2E"/>
    <w:rsid w:val="0031300E"/>
    <w:rsid w:val="003145A3"/>
    <w:rsid w:val="00315553"/>
    <w:rsid w:val="003159B5"/>
    <w:rsid w:val="0033482B"/>
    <w:rsid w:val="00335815"/>
    <w:rsid w:val="0034069F"/>
    <w:rsid w:val="0034403E"/>
    <w:rsid w:val="003515BF"/>
    <w:rsid w:val="00353947"/>
    <w:rsid w:val="0035795B"/>
    <w:rsid w:val="00365B20"/>
    <w:rsid w:val="003675ED"/>
    <w:rsid w:val="0037088D"/>
    <w:rsid w:val="00374E4B"/>
    <w:rsid w:val="00377C83"/>
    <w:rsid w:val="00382655"/>
    <w:rsid w:val="00387FC5"/>
    <w:rsid w:val="00396E41"/>
    <w:rsid w:val="003A5C6C"/>
    <w:rsid w:val="003B51F1"/>
    <w:rsid w:val="003B54E6"/>
    <w:rsid w:val="003C2A00"/>
    <w:rsid w:val="003C2C59"/>
    <w:rsid w:val="003D3548"/>
    <w:rsid w:val="003D512D"/>
    <w:rsid w:val="003E0AFB"/>
    <w:rsid w:val="003F04AD"/>
    <w:rsid w:val="003F7C2D"/>
    <w:rsid w:val="00402330"/>
    <w:rsid w:val="00405296"/>
    <w:rsid w:val="00415A4A"/>
    <w:rsid w:val="004169EA"/>
    <w:rsid w:val="00425399"/>
    <w:rsid w:val="00433D8D"/>
    <w:rsid w:val="00434553"/>
    <w:rsid w:val="00435A73"/>
    <w:rsid w:val="00436FB7"/>
    <w:rsid w:val="00442461"/>
    <w:rsid w:val="004428D6"/>
    <w:rsid w:val="0044448E"/>
    <w:rsid w:val="00444C5F"/>
    <w:rsid w:val="00455D1A"/>
    <w:rsid w:val="004574EA"/>
    <w:rsid w:val="004576D1"/>
    <w:rsid w:val="00472054"/>
    <w:rsid w:val="004754F4"/>
    <w:rsid w:val="004814FA"/>
    <w:rsid w:val="00483928"/>
    <w:rsid w:val="004914F4"/>
    <w:rsid w:val="00492337"/>
    <w:rsid w:val="00493165"/>
    <w:rsid w:val="004A5F9D"/>
    <w:rsid w:val="004A66BD"/>
    <w:rsid w:val="004A69A8"/>
    <w:rsid w:val="004B29FD"/>
    <w:rsid w:val="004B71A8"/>
    <w:rsid w:val="004C258F"/>
    <w:rsid w:val="004C4644"/>
    <w:rsid w:val="004C50D0"/>
    <w:rsid w:val="004C7E83"/>
    <w:rsid w:val="004D3D7E"/>
    <w:rsid w:val="004D5A64"/>
    <w:rsid w:val="004E20B9"/>
    <w:rsid w:val="004E3C49"/>
    <w:rsid w:val="004F30BD"/>
    <w:rsid w:val="004F3EBA"/>
    <w:rsid w:val="004F62D0"/>
    <w:rsid w:val="00500C8E"/>
    <w:rsid w:val="00506183"/>
    <w:rsid w:val="005064BD"/>
    <w:rsid w:val="00514CB8"/>
    <w:rsid w:val="0051687F"/>
    <w:rsid w:val="00520798"/>
    <w:rsid w:val="005313EA"/>
    <w:rsid w:val="0053215A"/>
    <w:rsid w:val="00537EC9"/>
    <w:rsid w:val="00541B03"/>
    <w:rsid w:val="0055329F"/>
    <w:rsid w:val="00554AAA"/>
    <w:rsid w:val="00556788"/>
    <w:rsid w:val="00565424"/>
    <w:rsid w:val="0056795A"/>
    <w:rsid w:val="005770C3"/>
    <w:rsid w:val="0058305F"/>
    <w:rsid w:val="00583845"/>
    <w:rsid w:val="00591E7E"/>
    <w:rsid w:val="00592400"/>
    <w:rsid w:val="005951F3"/>
    <w:rsid w:val="00597F0D"/>
    <w:rsid w:val="005A11C2"/>
    <w:rsid w:val="005B47CF"/>
    <w:rsid w:val="005B4DF2"/>
    <w:rsid w:val="005B531B"/>
    <w:rsid w:val="005B57D4"/>
    <w:rsid w:val="005B72AC"/>
    <w:rsid w:val="005C2742"/>
    <w:rsid w:val="005C3225"/>
    <w:rsid w:val="005D0D00"/>
    <w:rsid w:val="005D5121"/>
    <w:rsid w:val="005D65DD"/>
    <w:rsid w:val="005D7F7F"/>
    <w:rsid w:val="005E2E4F"/>
    <w:rsid w:val="005F42F1"/>
    <w:rsid w:val="005F4B64"/>
    <w:rsid w:val="005F4C3C"/>
    <w:rsid w:val="005F4CF9"/>
    <w:rsid w:val="005F5255"/>
    <w:rsid w:val="005F5B2C"/>
    <w:rsid w:val="0060364E"/>
    <w:rsid w:val="00603DB7"/>
    <w:rsid w:val="006121D8"/>
    <w:rsid w:val="0062002D"/>
    <w:rsid w:val="00627434"/>
    <w:rsid w:val="00636834"/>
    <w:rsid w:val="0064259C"/>
    <w:rsid w:val="006433A0"/>
    <w:rsid w:val="00645299"/>
    <w:rsid w:val="006478D5"/>
    <w:rsid w:val="00651CEA"/>
    <w:rsid w:val="0065274F"/>
    <w:rsid w:val="00653411"/>
    <w:rsid w:val="00657123"/>
    <w:rsid w:val="006667D1"/>
    <w:rsid w:val="006764E4"/>
    <w:rsid w:val="00680E3A"/>
    <w:rsid w:val="00684053"/>
    <w:rsid w:val="00684B2A"/>
    <w:rsid w:val="006978E7"/>
    <w:rsid w:val="006B14C5"/>
    <w:rsid w:val="006B22C7"/>
    <w:rsid w:val="006C1A80"/>
    <w:rsid w:val="006C3A90"/>
    <w:rsid w:val="006C5995"/>
    <w:rsid w:val="006D1830"/>
    <w:rsid w:val="006D31C2"/>
    <w:rsid w:val="006D377A"/>
    <w:rsid w:val="006E359F"/>
    <w:rsid w:val="006E4854"/>
    <w:rsid w:val="006E7B7F"/>
    <w:rsid w:val="006F005A"/>
    <w:rsid w:val="006F05FC"/>
    <w:rsid w:val="006F5913"/>
    <w:rsid w:val="006F61BA"/>
    <w:rsid w:val="00705357"/>
    <w:rsid w:val="00706449"/>
    <w:rsid w:val="00707D27"/>
    <w:rsid w:val="0071350A"/>
    <w:rsid w:val="00713E30"/>
    <w:rsid w:val="00714DA9"/>
    <w:rsid w:val="00715EC7"/>
    <w:rsid w:val="00716D10"/>
    <w:rsid w:val="0072034B"/>
    <w:rsid w:val="00720E9D"/>
    <w:rsid w:val="007237DD"/>
    <w:rsid w:val="007340CC"/>
    <w:rsid w:val="0073546F"/>
    <w:rsid w:val="0073615C"/>
    <w:rsid w:val="007364DB"/>
    <w:rsid w:val="0073790E"/>
    <w:rsid w:val="0075113C"/>
    <w:rsid w:val="00751BE0"/>
    <w:rsid w:val="0075329A"/>
    <w:rsid w:val="0075482C"/>
    <w:rsid w:val="00754CC5"/>
    <w:rsid w:val="00756430"/>
    <w:rsid w:val="00762692"/>
    <w:rsid w:val="00766F43"/>
    <w:rsid w:val="007814F3"/>
    <w:rsid w:val="007827CD"/>
    <w:rsid w:val="00783BFE"/>
    <w:rsid w:val="00784038"/>
    <w:rsid w:val="007856B2"/>
    <w:rsid w:val="0078694A"/>
    <w:rsid w:val="00792021"/>
    <w:rsid w:val="007927C5"/>
    <w:rsid w:val="00792DB2"/>
    <w:rsid w:val="0079717F"/>
    <w:rsid w:val="007A2426"/>
    <w:rsid w:val="007A4393"/>
    <w:rsid w:val="007A4C52"/>
    <w:rsid w:val="007A5B79"/>
    <w:rsid w:val="007A7FD5"/>
    <w:rsid w:val="007B0BCF"/>
    <w:rsid w:val="007B0F7E"/>
    <w:rsid w:val="007B358A"/>
    <w:rsid w:val="007B7F52"/>
    <w:rsid w:val="007C77F1"/>
    <w:rsid w:val="007D28A6"/>
    <w:rsid w:val="007D4E0D"/>
    <w:rsid w:val="007D5931"/>
    <w:rsid w:val="007E06D0"/>
    <w:rsid w:val="007E443C"/>
    <w:rsid w:val="007F64C0"/>
    <w:rsid w:val="00810EB6"/>
    <w:rsid w:val="00814050"/>
    <w:rsid w:val="008166E3"/>
    <w:rsid w:val="00820E16"/>
    <w:rsid w:val="00821316"/>
    <w:rsid w:val="0082605A"/>
    <w:rsid w:val="00827B7B"/>
    <w:rsid w:val="008361F6"/>
    <w:rsid w:val="00837B07"/>
    <w:rsid w:val="00837BDF"/>
    <w:rsid w:val="00841F77"/>
    <w:rsid w:val="00845BF7"/>
    <w:rsid w:val="00853DD6"/>
    <w:rsid w:val="00860318"/>
    <w:rsid w:val="00860D97"/>
    <w:rsid w:val="00861D91"/>
    <w:rsid w:val="00864192"/>
    <w:rsid w:val="008703E6"/>
    <w:rsid w:val="0087357B"/>
    <w:rsid w:val="00876DA5"/>
    <w:rsid w:val="00885F95"/>
    <w:rsid w:val="0089612A"/>
    <w:rsid w:val="008A262E"/>
    <w:rsid w:val="008A7462"/>
    <w:rsid w:val="008B1145"/>
    <w:rsid w:val="008B1F79"/>
    <w:rsid w:val="008C0F0E"/>
    <w:rsid w:val="008C34A5"/>
    <w:rsid w:val="008C7164"/>
    <w:rsid w:val="008D42A1"/>
    <w:rsid w:val="008E105C"/>
    <w:rsid w:val="008E1249"/>
    <w:rsid w:val="008E1A23"/>
    <w:rsid w:val="008F2988"/>
    <w:rsid w:val="008F7414"/>
    <w:rsid w:val="00900069"/>
    <w:rsid w:val="009147EC"/>
    <w:rsid w:val="0092043D"/>
    <w:rsid w:val="00920600"/>
    <w:rsid w:val="0092201B"/>
    <w:rsid w:val="00922EB4"/>
    <w:rsid w:val="00924B1D"/>
    <w:rsid w:val="00926A42"/>
    <w:rsid w:val="0092764E"/>
    <w:rsid w:val="0093100B"/>
    <w:rsid w:val="009320A4"/>
    <w:rsid w:val="009360F6"/>
    <w:rsid w:val="00936C02"/>
    <w:rsid w:val="0093735C"/>
    <w:rsid w:val="00937964"/>
    <w:rsid w:val="00940C9E"/>
    <w:rsid w:val="00941191"/>
    <w:rsid w:val="00950466"/>
    <w:rsid w:val="0095114E"/>
    <w:rsid w:val="009572DD"/>
    <w:rsid w:val="009623FE"/>
    <w:rsid w:val="00963986"/>
    <w:rsid w:val="00977600"/>
    <w:rsid w:val="009808C9"/>
    <w:rsid w:val="00980CD5"/>
    <w:rsid w:val="009821BB"/>
    <w:rsid w:val="00983E15"/>
    <w:rsid w:val="00984522"/>
    <w:rsid w:val="009862DC"/>
    <w:rsid w:val="009876A4"/>
    <w:rsid w:val="00994DF7"/>
    <w:rsid w:val="009967C8"/>
    <w:rsid w:val="009A56C8"/>
    <w:rsid w:val="009B19D4"/>
    <w:rsid w:val="009B1CC4"/>
    <w:rsid w:val="009B3668"/>
    <w:rsid w:val="009B40E3"/>
    <w:rsid w:val="009B4F56"/>
    <w:rsid w:val="009B587A"/>
    <w:rsid w:val="009C1172"/>
    <w:rsid w:val="009C3536"/>
    <w:rsid w:val="009C757F"/>
    <w:rsid w:val="009D3FDA"/>
    <w:rsid w:val="009D514C"/>
    <w:rsid w:val="009D6845"/>
    <w:rsid w:val="009F00E9"/>
    <w:rsid w:val="009F1090"/>
    <w:rsid w:val="009F3C77"/>
    <w:rsid w:val="009F5DF4"/>
    <w:rsid w:val="00A012E8"/>
    <w:rsid w:val="00A01666"/>
    <w:rsid w:val="00A01FA8"/>
    <w:rsid w:val="00A02B5D"/>
    <w:rsid w:val="00A106C6"/>
    <w:rsid w:val="00A1108B"/>
    <w:rsid w:val="00A13C9A"/>
    <w:rsid w:val="00A17212"/>
    <w:rsid w:val="00A17333"/>
    <w:rsid w:val="00A17D59"/>
    <w:rsid w:val="00A23D83"/>
    <w:rsid w:val="00A31CD1"/>
    <w:rsid w:val="00A424E0"/>
    <w:rsid w:val="00A4487D"/>
    <w:rsid w:val="00A44B00"/>
    <w:rsid w:val="00A46538"/>
    <w:rsid w:val="00A51CB3"/>
    <w:rsid w:val="00A52A52"/>
    <w:rsid w:val="00A53AA3"/>
    <w:rsid w:val="00A54235"/>
    <w:rsid w:val="00A55925"/>
    <w:rsid w:val="00A609F1"/>
    <w:rsid w:val="00A61E8A"/>
    <w:rsid w:val="00A739AA"/>
    <w:rsid w:val="00A76201"/>
    <w:rsid w:val="00A94978"/>
    <w:rsid w:val="00AA1C40"/>
    <w:rsid w:val="00AA3D05"/>
    <w:rsid w:val="00AB3D0F"/>
    <w:rsid w:val="00AB68F2"/>
    <w:rsid w:val="00AD35D6"/>
    <w:rsid w:val="00AD3A86"/>
    <w:rsid w:val="00AD5E7C"/>
    <w:rsid w:val="00AD6555"/>
    <w:rsid w:val="00AE3E82"/>
    <w:rsid w:val="00AF265B"/>
    <w:rsid w:val="00AF2B37"/>
    <w:rsid w:val="00AF3342"/>
    <w:rsid w:val="00AF43A3"/>
    <w:rsid w:val="00AF588D"/>
    <w:rsid w:val="00B03736"/>
    <w:rsid w:val="00B12962"/>
    <w:rsid w:val="00B13983"/>
    <w:rsid w:val="00B13D52"/>
    <w:rsid w:val="00B146DC"/>
    <w:rsid w:val="00B15314"/>
    <w:rsid w:val="00B16AD9"/>
    <w:rsid w:val="00B22EEE"/>
    <w:rsid w:val="00B258C2"/>
    <w:rsid w:val="00B307FE"/>
    <w:rsid w:val="00B3118F"/>
    <w:rsid w:val="00B335A9"/>
    <w:rsid w:val="00B3613D"/>
    <w:rsid w:val="00B374DE"/>
    <w:rsid w:val="00B3752F"/>
    <w:rsid w:val="00B4663C"/>
    <w:rsid w:val="00B467FE"/>
    <w:rsid w:val="00B4712D"/>
    <w:rsid w:val="00B61329"/>
    <w:rsid w:val="00B6161F"/>
    <w:rsid w:val="00B71D8D"/>
    <w:rsid w:val="00B72E47"/>
    <w:rsid w:val="00B73FC9"/>
    <w:rsid w:val="00B77676"/>
    <w:rsid w:val="00B800F3"/>
    <w:rsid w:val="00B802AA"/>
    <w:rsid w:val="00B80FCF"/>
    <w:rsid w:val="00B84CD2"/>
    <w:rsid w:val="00B870F2"/>
    <w:rsid w:val="00B8721D"/>
    <w:rsid w:val="00B92345"/>
    <w:rsid w:val="00B97C5E"/>
    <w:rsid w:val="00BA72CF"/>
    <w:rsid w:val="00BB2B79"/>
    <w:rsid w:val="00BB4E67"/>
    <w:rsid w:val="00BC247D"/>
    <w:rsid w:val="00BC26D3"/>
    <w:rsid w:val="00BC453E"/>
    <w:rsid w:val="00BC59E3"/>
    <w:rsid w:val="00BC6B36"/>
    <w:rsid w:val="00BD79E4"/>
    <w:rsid w:val="00BE24E4"/>
    <w:rsid w:val="00BF02D0"/>
    <w:rsid w:val="00BF236B"/>
    <w:rsid w:val="00BF41A7"/>
    <w:rsid w:val="00C002B2"/>
    <w:rsid w:val="00C00B13"/>
    <w:rsid w:val="00C134E4"/>
    <w:rsid w:val="00C14BD5"/>
    <w:rsid w:val="00C218E8"/>
    <w:rsid w:val="00C2230E"/>
    <w:rsid w:val="00C26B01"/>
    <w:rsid w:val="00C27548"/>
    <w:rsid w:val="00C322BD"/>
    <w:rsid w:val="00C519A2"/>
    <w:rsid w:val="00C548AF"/>
    <w:rsid w:val="00C5646A"/>
    <w:rsid w:val="00C57742"/>
    <w:rsid w:val="00C61E83"/>
    <w:rsid w:val="00C6263E"/>
    <w:rsid w:val="00C67B58"/>
    <w:rsid w:val="00C67D1F"/>
    <w:rsid w:val="00C709BD"/>
    <w:rsid w:val="00C71C99"/>
    <w:rsid w:val="00C728C8"/>
    <w:rsid w:val="00C767C1"/>
    <w:rsid w:val="00C80213"/>
    <w:rsid w:val="00C84C8A"/>
    <w:rsid w:val="00C86238"/>
    <w:rsid w:val="00C96B73"/>
    <w:rsid w:val="00CA2150"/>
    <w:rsid w:val="00CA40D3"/>
    <w:rsid w:val="00CA5FCE"/>
    <w:rsid w:val="00CB1838"/>
    <w:rsid w:val="00CB638D"/>
    <w:rsid w:val="00CB6A74"/>
    <w:rsid w:val="00CB77FD"/>
    <w:rsid w:val="00CC135A"/>
    <w:rsid w:val="00CC142D"/>
    <w:rsid w:val="00CC2D1B"/>
    <w:rsid w:val="00CC3F8E"/>
    <w:rsid w:val="00CD18DF"/>
    <w:rsid w:val="00CD2C86"/>
    <w:rsid w:val="00CD6839"/>
    <w:rsid w:val="00CE4F0D"/>
    <w:rsid w:val="00CF076E"/>
    <w:rsid w:val="00CF0F59"/>
    <w:rsid w:val="00CF2F9E"/>
    <w:rsid w:val="00CF46EB"/>
    <w:rsid w:val="00D01676"/>
    <w:rsid w:val="00D01FFF"/>
    <w:rsid w:val="00D0570E"/>
    <w:rsid w:val="00D065FC"/>
    <w:rsid w:val="00D07A1D"/>
    <w:rsid w:val="00D11B96"/>
    <w:rsid w:val="00D12111"/>
    <w:rsid w:val="00D1553F"/>
    <w:rsid w:val="00D2098E"/>
    <w:rsid w:val="00D215B8"/>
    <w:rsid w:val="00D2342D"/>
    <w:rsid w:val="00D25FE0"/>
    <w:rsid w:val="00D2698A"/>
    <w:rsid w:val="00D31927"/>
    <w:rsid w:val="00D32C50"/>
    <w:rsid w:val="00D46F7C"/>
    <w:rsid w:val="00D53BA8"/>
    <w:rsid w:val="00D61531"/>
    <w:rsid w:val="00D616B6"/>
    <w:rsid w:val="00D618CD"/>
    <w:rsid w:val="00D62369"/>
    <w:rsid w:val="00D64EF8"/>
    <w:rsid w:val="00D66EF0"/>
    <w:rsid w:val="00D679B8"/>
    <w:rsid w:val="00D7070A"/>
    <w:rsid w:val="00D707CE"/>
    <w:rsid w:val="00D72383"/>
    <w:rsid w:val="00D728CF"/>
    <w:rsid w:val="00D72D44"/>
    <w:rsid w:val="00D80860"/>
    <w:rsid w:val="00D80B03"/>
    <w:rsid w:val="00D814D4"/>
    <w:rsid w:val="00D83474"/>
    <w:rsid w:val="00D92132"/>
    <w:rsid w:val="00D92448"/>
    <w:rsid w:val="00D92942"/>
    <w:rsid w:val="00D94205"/>
    <w:rsid w:val="00DA0F55"/>
    <w:rsid w:val="00DA2D86"/>
    <w:rsid w:val="00DB021D"/>
    <w:rsid w:val="00DB0985"/>
    <w:rsid w:val="00DB152F"/>
    <w:rsid w:val="00DB6F46"/>
    <w:rsid w:val="00DC2809"/>
    <w:rsid w:val="00DC5DBD"/>
    <w:rsid w:val="00DC6B6F"/>
    <w:rsid w:val="00DC7491"/>
    <w:rsid w:val="00DD21DB"/>
    <w:rsid w:val="00DD3904"/>
    <w:rsid w:val="00DE004B"/>
    <w:rsid w:val="00DE13AE"/>
    <w:rsid w:val="00DE1FF7"/>
    <w:rsid w:val="00DF32EA"/>
    <w:rsid w:val="00E023B6"/>
    <w:rsid w:val="00E03624"/>
    <w:rsid w:val="00E064B0"/>
    <w:rsid w:val="00E0686D"/>
    <w:rsid w:val="00E110E7"/>
    <w:rsid w:val="00E1294F"/>
    <w:rsid w:val="00E174D5"/>
    <w:rsid w:val="00E216F9"/>
    <w:rsid w:val="00E247D9"/>
    <w:rsid w:val="00E33B22"/>
    <w:rsid w:val="00E4276D"/>
    <w:rsid w:val="00E452E8"/>
    <w:rsid w:val="00E51152"/>
    <w:rsid w:val="00E53502"/>
    <w:rsid w:val="00E659C6"/>
    <w:rsid w:val="00E75550"/>
    <w:rsid w:val="00E81194"/>
    <w:rsid w:val="00E83C83"/>
    <w:rsid w:val="00E8488D"/>
    <w:rsid w:val="00E84BD0"/>
    <w:rsid w:val="00E92FB3"/>
    <w:rsid w:val="00EA20C2"/>
    <w:rsid w:val="00EA4AA9"/>
    <w:rsid w:val="00EA4FC6"/>
    <w:rsid w:val="00EA578B"/>
    <w:rsid w:val="00EB0072"/>
    <w:rsid w:val="00EB05D5"/>
    <w:rsid w:val="00EB3E37"/>
    <w:rsid w:val="00EB4FB8"/>
    <w:rsid w:val="00EC0148"/>
    <w:rsid w:val="00EC0172"/>
    <w:rsid w:val="00EC2F35"/>
    <w:rsid w:val="00EC4B39"/>
    <w:rsid w:val="00EC7065"/>
    <w:rsid w:val="00ED0F35"/>
    <w:rsid w:val="00ED2792"/>
    <w:rsid w:val="00ED2FCC"/>
    <w:rsid w:val="00ED571F"/>
    <w:rsid w:val="00EE02B1"/>
    <w:rsid w:val="00EE5DE4"/>
    <w:rsid w:val="00EF0986"/>
    <w:rsid w:val="00EF1573"/>
    <w:rsid w:val="00EF3A97"/>
    <w:rsid w:val="00F0455A"/>
    <w:rsid w:val="00F05A1D"/>
    <w:rsid w:val="00F07C1B"/>
    <w:rsid w:val="00F13716"/>
    <w:rsid w:val="00F1455B"/>
    <w:rsid w:val="00F16CF1"/>
    <w:rsid w:val="00F2423F"/>
    <w:rsid w:val="00F264BA"/>
    <w:rsid w:val="00F26EC1"/>
    <w:rsid w:val="00F27B61"/>
    <w:rsid w:val="00F3158D"/>
    <w:rsid w:val="00F317F4"/>
    <w:rsid w:val="00F323EF"/>
    <w:rsid w:val="00F33B0C"/>
    <w:rsid w:val="00F34E01"/>
    <w:rsid w:val="00F34F94"/>
    <w:rsid w:val="00F36BF2"/>
    <w:rsid w:val="00F40577"/>
    <w:rsid w:val="00F44C65"/>
    <w:rsid w:val="00F464E8"/>
    <w:rsid w:val="00F47880"/>
    <w:rsid w:val="00F505AE"/>
    <w:rsid w:val="00F52625"/>
    <w:rsid w:val="00F5270D"/>
    <w:rsid w:val="00F54631"/>
    <w:rsid w:val="00F56AC8"/>
    <w:rsid w:val="00F57B62"/>
    <w:rsid w:val="00F601EE"/>
    <w:rsid w:val="00F61039"/>
    <w:rsid w:val="00F611C2"/>
    <w:rsid w:val="00F62F19"/>
    <w:rsid w:val="00F63AF9"/>
    <w:rsid w:val="00F65A61"/>
    <w:rsid w:val="00F65DCB"/>
    <w:rsid w:val="00F710AF"/>
    <w:rsid w:val="00F713EB"/>
    <w:rsid w:val="00F71A42"/>
    <w:rsid w:val="00F733C9"/>
    <w:rsid w:val="00F7461B"/>
    <w:rsid w:val="00F81BB8"/>
    <w:rsid w:val="00F8656B"/>
    <w:rsid w:val="00F873E7"/>
    <w:rsid w:val="00F87A2B"/>
    <w:rsid w:val="00F92449"/>
    <w:rsid w:val="00F96F1C"/>
    <w:rsid w:val="00FA06EF"/>
    <w:rsid w:val="00FA3038"/>
    <w:rsid w:val="00FA3E53"/>
    <w:rsid w:val="00FA4ACA"/>
    <w:rsid w:val="00FB3133"/>
    <w:rsid w:val="00FB6C38"/>
    <w:rsid w:val="00FC14E3"/>
    <w:rsid w:val="00FC1EE8"/>
    <w:rsid w:val="00FC3081"/>
    <w:rsid w:val="00FC67A6"/>
    <w:rsid w:val="00FD0273"/>
    <w:rsid w:val="00FD0552"/>
    <w:rsid w:val="00FD4FD8"/>
    <w:rsid w:val="00FD5B56"/>
    <w:rsid w:val="00FE7F5A"/>
    <w:rsid w:val="00FF1C8C"/>
    <w:rsid w:val="00FF29FD"/>
    <w:rsid w:val="00FF4B44"/>
    <w:rsid w:val="00FF5623"/>
    <w:rsid w:val="00FF6F22"/>
    <w:rsid w:val="00FF7B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FD2C4E7"/>
  <w15:docId w15:val="{41639DBE-3171-415A-BABB-F7007764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3">
    <w:name w:val="heading 3"/>
    <w:basedOn w:val="Normal"/>
    <w:next w:val="Normal"/>
    <w:qFormat/>
    <w:pPr>
      <w:keepNext/>
      <w:numPr>
        <w:ilvl w:val="2"/>
        <w:numId w:val="1"/>
      </w:num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6">
    <w:name w:val="Font Style16"/>
    <w:rPr>
      <w:rFonts w:ascii="Times New Roman" w:eastAsia="Times New Roman" w:hAnsi="Times New Roman" w:cs="Times New Roman"/>
      <w:sz w:val="26"/>
      <w:szCs w:val="26"/>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link w:val="FooterChar"/>
    <w:pPr>
      <w:widowControl w:val="0"/>
    </w:pPr>
    <w:rPr>
      <w:rFonts w:ascii="RimTimes" w:eastAsia="Lucida Sans Unicode" w:hAnsi="RimTimes"/>
      <w:kern w:val="1"/>
    </w:rPr>
  </w:style>
  <w:style w:type="paragraph" w:customStyle="1" w:styleId="TableContents">
    <w:name w:val="Table Contents"/>
    <w:basedOn w:val="Normal"/>
    <w:pPr>
      <w:widowControl w:val="0"/>
      <w:suppressLineNumbers/>
    </w:pPr>
    <w:rPr>
      <w:rFonts w:eastAsia="Lucida Sans Unicode"/>
      <w:kern w:val="1"/>
    </w:rPr>
  </w:style>
  <w:style w:type="paragraph" w:customStyle="1" w:styleId="naisc">
    <w:name w:val="naisc"/>
    <w:basedOn w:val="Normal"/>
    <w:pPr>
      <w:widowControl w:val="0"/>
      <w:spacing w:before="75" w:after="75"/>
      <w:jc w:val="center"/>
    </w:pPr>
    <w:rPr>
      <w:rFonts w:eastAsia="Lucida Sans Unicode"/>
      <w:kern w:val="1"/>
    </w:rPr>
  </w:style>
  <w:style w:type="paragraph" w:styleId="Header">
    <w:name w:val="header"/>
    <w:basedOn w:val="Normal"/>
    <w:pPr>
      <w:tabs>
        <w:tab w:val="center" w:pos="4153"/>
        <w:tab w:val="right" w:pos="8306"/>
      </w:tabs>
    </w:pPr>
  </w:style>
  <w:style w:type="paragraph" w:customStyle="1" w:styleId="Char">
    <w:name w:val="Char"/>
    <w:basedOn w:val="Normal"/>
    <w:pPr>
      <w:spacing w:before="40"/>
    </w:pPr>
    <w:rPr>
      <w:lang w:val="pl-PL"/>
    </w:rPr>
  </w:style>
  <w:style w:type="paragraph" w:customStyle="1" w:styleId="naisf">
    <w:name w:val="naisf"/>
    <w:basedOn w:val="Normal"/>
    <w:pPr>
      <w:spacing w:before="75" w:after="75"/>
      <w:ind w:firstLine="375"/>
      <w:jc w:val="both"/>
    </w:pPr>
  </w:style>
  <w:style w:type="paragraph" w:customStyle="1" w:styleId="naiskr">
    <w:name w:val="naiskr"/>
    <w:basedOn w:val="Normal"/>
    <w:pPr>
      <w:spacing w:before="51" w:after="51"/>
    </w:pPr>
  </w:style>
  <w:style w:type="paragraph" w:customStyle="1" w:styleId="CharCharCharCharCharCharCharCharCharCharCharCharCharCharCharChar">
    <w:name w:val="Char Char Char Char Char Char Char Char Char Char Char Char Char Char Char Char"/>
    <w:basedOn w:val="Normal"/>
    <w:next w:val="BlockText"/>
    <w:pPr>
      <w:spacing w:before="120" w:after="160" w:line="240" w:lineRule="exact"/>
      <w:ind w:firstLine="720"/>
      <w:jc w:val="both"/>
    </w:pPr>
    <w:rPr>
      <w:rFonts w:ascii="Verdana" w:hAnsi="Verdana"/>
      <w:sz w:val="20"/>
      <w:szCs w:val="20"/>
      <w:lang w:val="en-US"/>
    </w:rPr>
  </w:style>
  <w:style w:type="paragraph" w:styleId="BlockText">
    <w:name w:val="Block Text"/>
    <w:basedOn w:val="Normal"/>
    <w:pPr>
      <w:spacing w:after="120"/>
      <w:ind w:left="1440" w:right="1440"/>
    </w:pPr>
  </w:style>
  <w:style w:type="paragraph" w:customStyle="1" w:styleId="CM4">
    <w:name w:val="CM4"/>
    <w:basedOn w:val="Normal"/>
    <w:next w:val="Normal"/>
    <w:pPr>
      <w:autoSpaceDE w:val="0"/>
    </w:pPr>
    <w:rPr>
      <w:rFonts w:ascii="EUAlbertina" w:hAnsi="EUAlbertina"/>
    </w:r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FootnoteText">
    <w:name w:val="footnote text"/>
    <w:basedOn w:val="Normal"/>
    <w:link w:val="FootnoteTextChar"/>
    <w:rsid w:val="0073615C"/>
    <w:rPr>
      <w:sz w:val="20"/>
      <w:szCs w:val="20"/>
    </w:rPr>
  </w:style>
  <w:style w:type="character" w:customStyle="1" w:styleId="FootnoteTextChar">
    <w:name w:val="Footnote Text Char"/>
    <w:link w:val="FootnoteText"/>
    <w:rsid w:val="0073615C"/>
    <w:rPr>
      <w:lang w:eastAsia="ar-SA"/>
    </w:rPr>
  </w:style>
  <w:style w:type="paragraph" w:customStyle="1" w:styleId="naisnod">
    <w:name w:val="naisnod"/>
    <w:basedOn w:val="Normal"/>
    <w:rsid w:val="00EA20C2"/>
    <w:pPr>
      <w:suppressAutoHyphens w:val="0"/>
      <w:spacing w:before="150" w:after="150"/>
      <w:jc w:val="center"/>
    </w:pPr>
    <w:rPr>
      <w:b/>
      <w:bCs/>
      <w:lang w:eastAsia="lv-LV"/>
    </w:rPr>
  </w:style>
  <w:style w:type="table" w:styleId="TableGrid">
    <w:name w:val="Table Grid"/>
    <w:basedOn w:val="TableNormal"/>
    <w:rsid w:val="00EA20C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C3F8E"/>
    <w:pPr>
      <w:suppressAutoHyphens w:val="0"/>
      <w:spacing w:before="100" w:beforeAutospacing="1" w:after="100" w:afterAutospacing="1"/>
    </w:pPr>
    <w:rPr>
      <w:lang w:eastAsia="lv-LV"/>
    </w:rPr>
  </w:style>
  <w:style w:type="paragraph" w:styleId="CommentText">
    <w:name w:val="annotation text"/>
    <w:basedOn w:val="Normal"/>
    <w:link w:val="CommentTextChar"/>
    <w:semiHidden/>
    <w:rsid w:val="00F63AF9"/>
    <w:pPr>
      <w:suppressAutoHyphens w:val="0"/>
    </w:pPr>
    <w:rPr>
      <w:sz w:val="20"/>
      <w:szCs w:val="20"/>
      <w:lang w:eastAsia="lv-LV"/>
    </w:rPr>
  </w:style>
  <w:style w:type="character" w:customStyle="1" w:styleId="CommentTextChar">
    <w:name w:val="Comment Text Char"/>
    <w:link w:val="CommentText"/>
    <w:semiHidden/>
    <w:rsid w:val="00F63AF9"/>
    <w:rPr>
      <w:lang w:val="lv-LV" w:eastAsia="lv-LV" w:bidi="ar-SA"/>
    </w:rPr>
  </w:style>
  <w:style w:type="paragraph" w:customStyle="1" w:styleId="tablecontents0">
    <w:name w:val="tablecontents"/>
    <w:basedOn w:val="Normal"/>
    <w:rsid w:val="00860318"/>
    <w:pPr>
      <w:suppressAutoHyphens w:val="0"/>
      <w:spacing w:before="100" w:beforeAutospacing="1" w:after="100" w:afterAutospacing="1"/>
    </w:pPr>
    <w:rPr>
      <w:lang w:eastAsia="lv-LV"/>
    </w:rPr>
  </w:style>
  <w:style w:type="character" w:styleId="Strong">
    <w:name w:val="Strong"/>
    <w:qFormat/>
    <w:rsid w:val="00292335"/>
    <w:rPr>
      <w:b/>
      <w:bCs/>
    </w:rPr>
  </w:style>
  <w:style w:type="paragraph" w:customStyle="1" w:styleId="CharChar">
    <w:name w:val="Char Char"/>
    <w:basedOn w:val="Normal"/>
    <w:rsid w:val="00AB68F2"/>
    <w:pPr>
      <w:suppressAutoHyphens w:val="0"/>
      <w:spacing w:after="160" w:line="240" w:lineRule="exact"/>
    </w:pPr>
    <w:rPr>
      <w:rFonts w:ascii="Tahoma" w:hAnsi="Tahoma"/>
      <w:sz w:val="20"/>
      <w:szCs w:val="20"/>
      <w:lang w:val="en-US" w:eastAsia="en-US"/>
    </w:rPr>
  </w:style>
  <w:style w:type="character" w:styleId="FootnoteReference">
    <w:name w:val="footnote reference"/>
    <w:uiPriority w:val="99"/>
    <w:unhideWhenUsed/>
    <w:rsid w:val="00E53502"/>
    <w:rPr>
      <w:vertAlign w:val="superscript"/>
    </w:rPr>
  </w:style>
  <w:style w:type="paragraph" w:customStyle="1" w:styleId="Char1CharCharChar">
    <w:name w:val="Char1 Char Char Char"/>
    <w:basedOn w:val="Normal"/>
    <w:rsid w:val="009572DD"/>
    <w:pPr>
      <w:suppressAutoHyphens w:val="0"/>
      <w:spacing w:before="40"/>
    </w:pPr>
    <w:rPr>
      <w:lang w:val="pl-PL" w:eastAsia="pl-PL"/>
    </w:rPr>
  </w:style>
  <w:style w:type="paragraph" w:styleId="CommentSubject">
    <w:name w:val="annotation subject"/>
    <w:basedOn w:val="CommentText"/>
    <w:next w:val="CommentText"/>
    <w:semiHidden/>
    <w:rsid w:val="00136450"/>
    <w:rPr>
      <w:b/>
      <w:bCs/>
    </w:rPr>
  </w:style>
  <w:style w:type="character" w:customStyle="1" w:styleId="tvhtmlmktable">
    <w:name w:val="tv_html mk_table"/>
    <w:basedOn w:val="DefaultParagraphFont"/>
    <w:rsid w:val="00845BF7"/>
  </w:style>
  <w:style w:type="character" w:customStyle="1" w:styleId="FooterChar">
    <w:name w:val="Footer Char"/>
    <w:link w:val="Footer"/>
    <w:locked/>
    <w:rsid w:val="00D92132"/>
    <w:rPr>
      <w:rFonts w:ascii="RimTimes" w:eastAsia="Lucida Sans Unicode" w:hAnsi="RimTimes"/>
      <w:kern w:val="1"/>
      <w:sz w:val="24"/>
      <w:szCs w:val="24"/>
      <w:lang w:val="lv-LV" w:eastAsia="ar-SA" w:bidi="ar-SA"/>
    </w:rPr>
  </w:style>
  <w:style w:type="paragraph" w:styleId="BalloonText">
    <w:name w:val="Balloon Text"/>
    <w:basedOn w:val="Normal"/>
    <w:link w:val="BalloonTextChar"/>
    <w:rsid w:val="003F7C2D"/>
    <w:rPr>
      <w:rFonts w:ascii="Segoe UI" w:hAnsi="Segoe UI" w:cs="Segoe UI"/>
      <w:sz w:val="18"/>
      <w:szCs w:val="18"/>
    </w:rPr>
  </w:style>
  <w:style w:type="character" w:customStyle="1" w:styleId="BalloonTextChar">
    <w:name w:val="Balloon Text Char"/>
    <w:link w:val="BalloonText"/>
    <w:rsid w:val="003F7C2D"/>
    <w:rPr>
      <w:rFonts w:ascii="Segoe UI" w:hAnsi="Segoe UI" w:cs="Segoe UI"/>
      <w:sz w:val="18"/>
      <w:szCs w:val="18"/>
      <w:lang w:eastAsia="ar-SA"/>
    </w:rPr>
  </w:style>
  <w:style w:type="character" w:styleId="CommentReference">
    <w:name w:val="annotation reference"/>
    <w:basedOn w:val="DefaultParagraphFont"/>
    <w:rsid w:val="004D3D7E"/>
    <w:rPr>
      <w:sz w:val="16"/>
      <w:szCs w:val="16"/>
    </w:rPr>
  </w:style>
  <w:style w:type="paragraph" w:styleId="Revision">
    <w:name w:val="Revision"/>
    <w:hidden/>
    <w:uiPriority w:val="99"/>
    <w:semiHidden/>
    <w:rsid w:val="00D616B6"/>
    <w:rPr>
      <w:sz w:val="24"/>
      <w:szCs w:val="24"/>
      <w:lang w:eastAsia="ar-SA"/>
    </w:rPr>
  </w:style>
  <w:style w:type="paragraph" w:customStyle="1" w:styleId="tv2131">
    <w:name w:val="tv2131"/>
    <w:basedOn w:val="Normal"/>
    <w:rsid w:val="00FD5B56"/>
    <w:pPr>
      <w:suppressAutoHyphens w:val="0"/>
      <w:spacing w:line="360" w:lineRule="auto"/>
      <w:ind w:firstLine="300"/>
    </w:pPr>
    <w:rPr>
      <w:color w:val="414142"/>
      <w:sz w:val="20"/>
      <w:szCs w:val="20"/>
      <w:lang w:eastAsia="lv-LV"/>
    </w:rPr>
  </w:style>
  <w:style w:type="character" w:customStyle="1" w:styleId="apple-converted-space">
    <w:name w:val="apple-converted-space"/>
    <w:basedOn w:val="DefaultParagraphFont"/>
    <w:rsid w:val="003D512D"/>
  </w:style>
  <w:style w:type="paragraph" w:styleId="ListParagraph">
    <w:name w:val="List Paragraph"/>
    <w:basedOn w:val="Normal"/>
    <w:uiPriority w:val="34"/>
    <w:qFormat/>
    <w:rsid w:val="002F1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136241">
      <w:bodyDiv w:val="1"/>
      <w:marLeft w:val="0"/>
      <w:marRight w:val="0"/>
      <w:marTop w:val="0"/>
      <w:marBottom w:val="0"/>
      <w:divBdr>
        <w:top w:val="none" w:sz="0" w:space="0" w:color="auto"/>
        <w:left w:val="none" w:sz="0" w:space="0" w:color="auto"/>
        <w:bottom w:val="none" w:sz="0" w:space="0" w:color="auto"/>
        <w:right w:val="none" w:sz="0" w:space="0" w:color="auto"/>
      </w:divBdr>
      <w:divsChild>
        <w:div w:id="1099064551">
          <w:marLeft w:val="0"/>
          <w:marRight w:val="0"/>
          <w:marTop w:val="0"/>
          <w:marBottom w:val="0"/>
          <w:divBdr>
            <w:top w:val="none" w:sz="0" w:space="0" w:color="auto"/>
            <w:left w:val="none" w:sz="0" w:space="0" w:color="auto"/>
            <w:bottom w:val="none" w:sz="0" w:space="0" w:color="auto"/>
            <w:right w:val="none" w:sz="0" w:space="0" w:color="auto"/>
          </w:divBdr>
          <w:divsChild>
            <w:div w:id="88504550">
              <w:marLeft w:val="0"/>
              <w:marRight w:val="0"/>
              <w:marTop w:val="0"/>
              <w:marBottom w:val="0"/>
              <w:divBdr>
                <w:top w:val="none" w:sz="0" w:space="0" w:color="auto"/>
                <w:left w:val="none" w:sz="0" w:space="0" w:color="auto"/>
                <w:bottom w:val="none" w:sz="0" w:space="0" w:color="auto"/>
                <w:right w:val="none" w:sz="0" w:space="0" w:color="auto"/>
              </w:divBdr>
              <w:divsChild>
                <w:div w:id="116720270">
                  <w:marLeft w:val="0"/>
                  <w:marRight w:val="0"/>
                  <w:marTop w:val="0"/>
                  <w:marBottom w:val="0"/>
                  <w:divBdr>
                    <w:top w:val="none" w:sz="0" w:space="0" w:color="auto"/>
                    <w:left w:val="none" w:sz="0" w:space="0" w:color="auto"/>
                    <w:bottom w:val="none" w:sz="0" w:space="0" w:color="auto"/>
                    <w:right w:val="none" w:sz="0" w:space="0" w:color="auto"/>
                  </w:divBdr>
                  <w:divsChild>
                    <w:div w:id="1702433263">
                      <w:marLeft w:val="0"/>
                      <w:marRight w:val="0"/>
                      <w:marTop w:val="0"/>
                      <w:marBottom w:val="0"/>
                      <w:divBdr>
                        <w:top w:val="none" w:sz="0" w:space="0" w:color="auto"/>
                        <w:left w:val="none" w:sz="0" w:space="0" w:color="auto"/>
                        <w:bottom w:val="none" w:sz="0" w:space="0" w:color="auto"/>
                        <w:right w:val="none" w:sz="0" w:space="0" w:color="auto"/>
                      </w:divBdr>
                      <w:divsChild>
                        <w:div w:id="1538588828">
                          <w:marLeft w:val="0"/>
                          <w:marRight w:val="0"/>
                          <w:marTop w:val="300"/>
                          <w:marBottom w:val="0"/>
                          <w:divBdr>
                            <w:top w:val="none" w:sz="0" w:space="0" w:color="auto"/>
                            <w:left w:val="none" w:sz="0" w:space="0" w:color="auto"/>
                            <w:bottom w:val="none" w:sz="0" w:space="0" w:color="auto"/>
                            <w:right w:val="none" w:sz="0" w:space="0" w:color="auto"/>
                          </w:divBdr>
                          <w:divsChild>
                            <w:div w:id="8779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091998">
      <w:bodyDiv w:val="1"/>
      <w:marLeft w:val="0"/>
      <w:marRight w:val="0"/>
      <w:marTop w:val="0"/>
      <w:marBottom w:val="0"/>
      <w:divBdr>
        <w:top w:val="none" w:sz="0" w:space="0" w:color="auto"/>
        <w:left w:val="none" w:sz="0" w:space="0" w:color="auto"/>
        <w:bottom w:val="none" w:sz="0" w:space="0" w:color="auto"/>
        <w:right w:val="none" w:sz="0" w:space="0" w:color="auto"/>
      </w:divBdr>
      <w:divsChild>
        <w:div w:id="576673642">
          <w:marLeft w:val="0"/>
          <w:marRight w:val="0"/>
          <w:marTop w:val="0"/>
          <w:marBottom w:val="0"/>
          <w:divBdr>
            <w:top w:val="none" w:sz="0" w:space="0" w:color="auto"/>
            <w:left w:val="none" w:sz="0" w:space="0" w:color="auto"/>
            <w:bottom w:val="none" w:sz="0" w:space="0" w:color="auto"/>
            <w:right w:val="none" w:sz="0" w:space="0" w:color="auto"/>
          </w:divBdr>
          <w:divsChild>
            <w:div w:id="1900747468">
              <w:marLeft w:val="0"/>
              <w:marRight w:val="0"/>
              <w:marTop w:val="0"/>
              <w:marBottom w:val="0"/>
              <w:divBdr>
                <w:top w:val="none" w:sz="0" w:space="0" w:color="auto"/>
                <w:left w:val="none" w:sz="0" w:space="0" w:color="auto"/>
                <w:bottom w:val="none" w:sz="0" w:space="0" w:color="auto"/>
                <w:right w:val="none" w:sz="0" w:space="0" w:color="auto"/>
              </w:divBdr>
              <w:divsChild>
                <w:div w:id="896627396">
                  <w:marLeft w:val="0"/>
                  <w:marRight w:val="0"/>
                  <w:marTop w:val="0"/>
                  <w:marBottom w:val="0"/>
                  <w:divBdr>
                    <w:top w:val="none" w:sz="0" w:space="0" w:color="auto"/>
                    <w:left w:val="none" w:sz="0" w:space="0" w:color="auto"/>
                    <w:bottom w:val="none" w:sz="0" w:space="0" w:color="auto"/>
                    <w:right w:val="none" w:sz="0" w:space="0" w:color="auto"/>
                  </w:divBdr>
                  <w:divsChild>
                    <w:div w:id="2084259416">
                      <w:marLeft w:val="0"/>
                      <w:marRight w:val="0"/>
                      <w:marTop w:val="0"/>
                      <w:marBottom w:val="0"/>
                      <w:divBdr>
                        <w:top w:val="none" w:sz="0" w:space="0" w:color="auto"/>
                        <w:left w:val="none" w:sz="0" w:space="0" w:color="auto"/>
                        <w:bottom w:val="none" w:sz="0" w:space="0" w:color="auto"/>
                        <w:right w:val="none" w:sz="0" w:space="0" w:color="auto"/>
                      </w:divBdr>
                      <w:divsChild>
                        <w:div w:id="1210612444">
                          <w:marLeft w:val="0"/>
                          <w:marRight w:val="0"/>
                          <w:marTop w:val="300"/>
                          <w:marBottom w:val="0"/>
                          <w:divBdr>
                            <w:top w:val="none" w:sz="0" w:space="0" w:color="auto"/>
                            <w:left w:val="none" w:sz="0" w:space="0" w:color="auto"/>
                            <w:bottom w:val="none" w:sz="0" w:space="0" w:color="auto"/>
                            <w:right w:val="none" w:sz="0" w:space="0" w:color="auto"/>
                          </w:divBdr>
                          <w:divsChild>
                            <w:div w:id="19905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425713">
      <w:bodyDiv w:val="1"/>
      <w:marLeft w:val="0"/>
      <w:marRight w:val="0"/>
      <w:marTop w:val="0"/>
      <w:marBottom w:val="0"/>
      <w:divBdr>
        <w:top w:val="none" w:sz="0" w:space="0" w:color="auto"/>
        <w:left w:val="none" w:sz="0" w:space="0" w:color="auto"/>
        <w:bottom w:val="none" w:sz="0" w:space="0" w:color="auto"/>
        <w:right w:val="none" w:sz="0" w:space="0" w:color="auto"/>
      </w:divBdr>
      <w:divsChild>
        <w:div w:id="398285341">
          <w:marLeft w:val="0"/>
          <w:marRight w:val="0"/>
          <w:marTop w:val="0"/>
          <w:marBottom w:val="0"/>
          <w:divBdr>
            <w:top w:val="none" w:sz="0" w:space="0" w:color="auto"/>
            <w:left w:val="none" w:sz="0" w:space="0" w:color="auto"/>
            <w:bottom w:val="none" w:sz="0" w:space="0" w:color="auto"/>
            <w:right w:val="none" w:sz="0" w:space="0" w:color="auto"/>
          </w:divBdr>
          <w:divsChild>
            <w:div w:id="741098251">
              <w:marLeft w:val="0"/>
              <w:marRight w:val="0"/>
              <w:marTop w:val="0"/>
              <w:marBottom w:val="0"/>
              <w:divBdr>
                <w:top w:val="none" w:sz="0" w:space="0" w:color="auto"/>
                <w:left w:val="none" w:sz="0" w:space="0" w:color="auto"/>
                <w:bottom w:val="none" w:sz="0" w:space="0" w:color="auto"/>
                <w:right w:val="none" w:sz="0" w:space="0" w:color="auto"/>
              </w:divBdr>
              <w:divsChild>
                <w:div w:id="2021663958">
                  <w:marLeft w:val="0"/>
                  <w:marRight w:val="0"/>
                  <w:marTop w:val="0"/>
                  <w:marBottom w:val="0"/>
                  <w:divBdr>
                    <w:top w:val="none" w:sz="0" w:space="0" w:color="auto"/>
                    <w:left w:val="none" w:sz="0" w:space="0" w:color="auto"/>
                    <w:bottom w:val="none" w:sz="0" w:space="0" w:color="auto"/>
                    <w:right w:val="none" w:sz="0" w:space="0" w:color="auto"/>
                  </w:divBdr>
                  <w:divsChild>
                    <w:div w:id="887643269">
                      <w:marLeft w:val="0"/>
                      <w:marRight w:val="0"/>
                      <w:marTop w:val="0"/>
                      <w:marBottom w:val="0"/>
                      <w:divBdr>
                        <w:top w:val="none" w:sz="0" w:space="0" w:color="auto"/>
                        <w:left w:val="none" w:sz="0" w:space="0" w:color="auto"/>
                        <w:bottom w:val="none" w:sz="0" w:space="0" w:color="auto"/>
                        <w:right w:val="none" w:sz="0" w:space="0" w:color="auto"/>
                      </w:divBdr>
                      <w:divsChild>
                        <w:div w:id="582959578">
                          <w:marLeft w:val="0"/>
                          <w:marRight w:val="0"/>
                          <w:marTop w:val="300"/>
                          <w:marBottom w:val="0"/>
                          <w:divBdr>
                            <w:top w:val="none" w:sz="0" w:space="0" w:color="auto"/>
                            <w:left w:val="none" w:sz="0" w:space="0" w:color="auto"/>
                            <w:bottom w:val="none" w:sz="0" w:space="0" w:color="auto"/>
                            <w:right w:val="none" w:sz="0" w:space="0" w:color="auto"/>
                          </w:divBdr>
                          <w:divsChild>
                            <w:div w:id="16774232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950791">
      <w:bodyDiv w:val="1"/>
      <w:marLeft w:val="0"/>
      <w:marRight w:val="0"/>
      <w:marTop w:val="0"/>
      <w:marBottom w:val="0"/>
      <w:divBdr>
        <w:top w:val="none" w:sz="0" w:space="0" w:color="auto"/>
        <w:left w:val="none" w:sz="0" w:space="0" w:color="auto"/>
        <w:bottom w:val="none" w:sz="0" w:space="0" w:color="auto"/>
        <w:right w:val="none" w:sz="0" w:space="0" w:color="auto"/>
      </w:divBdr>
    </w:div>
    <w:div w:id="1288387452">
      <w:bodyDiv w:val="1"/>
      <w:marLeft w:val="0"/>
      <w:marRight w:val="0"/>
      <w:marTop w:val="0"/>
      <w:marBottom w:val="0"/>
      <w:divBdr>
        <w:top w:val="none" w:sz="0" w:space="0" w:color="auto"/>
        <w:left w:val="none" w:sz="0" w:space="0" w:color="auto"/>
        <w:bottom w:val="none" w:sz="0" w:space="0" w:color="auto"/>
        <w:right w:val="none" w:sz="0" w:space="0" w:color="auto"/>
      </w:divBdr>
      <w:divsChild>
        <w:div w:id="500392912">
          <w:marLeft w:val="0"/>
          <w:marRight w:val="0"/>
          <w:marTop w:val="0"/>
          <w:marBottom w:val="0"/>
          <w:divBdr>
            <w:top w:val="none" w:sz="0" w:space="0" w:color="auto"/>
            <w:left w:val="none" w:sz="0" w:space="0" w:color="auto"/>
            <w:bottom w:val="none" w:sz="0" w:space="0" w:color="auto"/>
            <w:right w:val="none" w:sz="0" w:space="0" w:color="auto"/>
          </w:divBdr>
        </w:div>
        <w:div w:id="885802223">
          <w:marLeft w:val="0"/>
          <w:marRight w:val="0"/>
          <w:marTop w:val="0"/>
          <w:marBottom w:val="0"/>
          <w:divBdr>
            <w:top w:val="none" w:sz="0" w:space="0" w:color="auto"/>
            <w:left w:val="none" w:sz="0" w:space="0" w:color="auto"/>
            <w:bottom w:val="none" w:sz="0" w:space="0" w:color="auto"/>
            <w:right w:val="none" w:sz="0" w:space="0" w:color="auto"/>
          </w:divBdr>
        </w:div>
      </w:divsChild>
    </w:div>
    <w:div w:id="2023361220">
      <w:bodyDiv w:val="1"/>
      <w:marLeft w:val="0"/>
      <w:marRight w:val="0"/>
      <w:marTop w:val="0"/>
      <w:marBottom w:val="0"/>
      <w:divBdr>
        <w:top w:val="none" w:sz="0" w:space="0" w:color="auto"/>
        <w:left w:val="none" w:sz="0" w:space="0" w:color="auto"/>
        <w:bottom w:val="none" w:sz="0" w:space="0" w:color="auto"/>
        <w:right w:val="none" w:sz="0" w:space="0" w:color="auto"/>
      </w:divBdr>
      <w:divsChild>
        <w:div w:id="217278701">
          <w:marLeft w:val="0"/>
          <w:marRight w:val="0"/>
          <w:marTop w:val="0"/>
          <w:marBottom w:val="0"/>
          <w:divBdr>
            <w:top w:val="none" w:sz="0" w:space="0" w:color="auto"/>
            <w:left w:val="none" w:sz="0" w:space="0" w:color="auto"/>
            <w:bottom w:val="none" w:sz="0" w:space="0" w:color="auto"/>
            <w:right w:val="none" w:sz="0" w:space="0" w:color="auto"/>
          </w:divBdr>
        </w:div>
        <w:div w:id="1631666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alds.petrovskis@i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199DB-73BC-4D1D-8277-7E3BB3CA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1263</Words>
  <Characters>8793</Characters>
  <Application>Microsoft Office Word</Application>
  <DocSecurity>0</DocSecurity>
  <Lines>245</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VPK</Company>
  <LinksUpToDate>false</LinksUpToDate>
  <CharactersWithSpaces>10004</CharactersWithSpaces>
  <SharedDoc>false</SharedDoc>
  <HLinks>
    <vt:vector size="12" baseType="variant">
      <vt:variant>
        <vt:i4>1966190</vt:i4>
      </vt:variant>
      <vt:variant>
        <vt:i4>6</vt:i4>
      </vt:variant>
      <vt:variant>
        <vt:i4>0</vt:i4>
      </vt:variant>
      <vt:variant>
        <vt:i4>5</vt:i4>
      </vt:variant>
      <vt:variant>
        <vt:lpwstr>mailto:ivars.petersons@koledza.vp.gov.lv</vt:lpwstr>
      </vt:variant>
      <vt:variant>
        <vt:lpwstr/>
      </vt:variant>
      <vt:variant>
        <vt:i4>2883598</vt:i4>
      </vt:variant>
      <vt:variant>
        <vt:i4>3</vt:i4>
      </vt:variant>
      <vt:variant>
        <vt:i4>0</vt:i4>
      </vt:variant>
      <vt:variant>
        <vt:i4>5</vt:i4>
      </vt:variant>
      <vt:variant>
        <vt:lpwstr>mailto:ronalds.petrovskis@iem.gov.lv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tiesību akta sākotnējās ietekmes novērtējuma ziņojums (anotācija)</dc:subject>
  <dc:creator>Inita Dzelme</dc:creator>
  <cp:lastModifiedBy>Gints Rozenbilds</cp:lastModifiedBy>
  <cp:revision>6</cp:revision>
  <cp:lastPrinted>2014-05-20T11:12:00Z</cp:lastPrinted>
  <dcterms:created xsi:type="dcterms:W3CDTF">2016-02-01T06:03:00Z</dcterms:created>
  <dcterms:modified xsi:type="dcterms:W3CDTF">2016-02-10T12:02:00Z</dcterms:modified>
</cp:coreProperties>
</file>